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Exterior Treated Plate Cut-End</w:t>
        <w:br/>
        <w:t>Preservative Application JHA</w:t>
      </w:r>
    </w:p>
    <w:p>
      <w:pPr>
        <w:pStyle w:val="Subtitle"/>
      </w:pPr>
      <w:r>
        <w:t>Worked instructional example</w:t>
      </w:r>
    </w:p>
    <w:p>
      <w:pPr>
        <w:pStyle w:val="Heading1"/>
      </w:pPr>
      <w:r>
        <w:t>Work and worksite</w:t>
      </w:r>
    </w:p>
    <w:p>
      <w:r>
        <w:t>A trained worker will brush a selected ready-to-use wood preservative onto already cut ends of identified treated sill/plate stock intended for a permitted exterior use. Work occurs at a contained outdoor station before framing installation. The actual product label, SDS and wood-use specification govern compatibility, application, protection and waste handling; no cutting or drilling occurs. This fictional learning example describes planned controls; it records no actual inspection or work authorization.</w:t>
      </w:r>
    </w:p>
    <w:p>
      <w:pPr>
        <w:pStyle w:val="ListBullet"/>
      </w:pPr>
      <w:r>
        <w:t>The current registered label permits this exterior wood use and brush application; product formulation, original wood treatment and field-treatment requirement are identified before opening containers.</w:t>
      </w:r>
    </w:p>
    <w:p>
      <w:pPr>
        <w:pStyle w:val="ListBullet"/>
      </w:pPr>
      <w:r>
        <w:t>Prepared bare, dry ends are accessible on stable supports. Spill containment, ventilation, ignition control, washing and first-aid arrangements remain effective throughout application and closeout.</w:t>
      </w:r>
    </w:p>
    <w:p>
      <w:pPr>
        <w:pStyle w:val="ListBullet"/>
      </w:pPr>
      <w:r>
        <w:t>The sill/plate connection is partial: cut-end treatment before installation only. Indoor use, spray or mist, dilution, machining, pressure treatment and wood touching food/feed/potable water are excluded.</w:t>
      </w:r>
    </w:p>
    <w:p>
      <w:pPr>
        <w:pStyle w:val="Heading2"/>
      </w:pPr>
      <w:r>
        <w:t>Questions before work</w:t>
      </w:r>
    </w:p>
    <w:p>
      <w:pPr>
        <w:pStyle w:val="ListBullet"/>
      </w:pPr>
      <w:r>
        <w:t>Does the actual registered product label permit this wood’s intended exterior location and brush method?</w:t>
      </w:r>
    </w:p>
    <w:p>
      <w:pPr>
        <w:pStyle w:val="ListBullet"/>
      </w:pPr>
      <w:r>
        <w:t>What keeps drips, contaminated tools and wash residue out of drains, soil and sensitive environments?</w:t>
      </w:r>
    </w:p>
    <w:p>
      <w:pPr>
        <w:pStyle w:val="ListBullet"/>
      </w:pPr>
      <w:r>
        <w:t>Which product-defined handling/protection conditions must be recorded before the treated stock is transferred?</w:t>
      </w:r>
    </w:p>
    <w:p>
      <w:r>
        <w:br w:type="page"/>
      </w:r>
    </w:p>
    <w:p>
      <w:pPr>
        <w:pStyle w:val="Heading1"/>
      </w:pPr>
      <w:r>
        <w:t>Task Hazard Control</w:t>
      </w:r>
    </w:p>
    <w:p>
      <w:pPr>
        <w:pStyle w:val="Heading2"/>
      </w:pPr>
      <w:r>
        <w:t>1 Match the wood use and preservative</w:t>
      </w:r>
    </w:p>
    <w:p>
      <w:r>
        <w:rPr>
          <w:b/>
        </w:rPr>
        <w:t xml:space="preserve">Hazard: </w:t>
      </w:r>
      <w:r>
        <w:t>Using the wrong formulation or an unpermitted application can expose people and leave unsuitable treated framing.</w:t>
      </w:r>
    </w:p>
    <w:p>
      <w:r>
        <w:rPr>
          <w:b/>
        </w:rPr>
        <w:t xml:space="preserve">Control: </w:t>
      </w:r>
      <w:r>
        <w:t>Treatment lead identifies the original wood treatment, prepared cuts and intended exterior use. Read the actual registered label and matching SDS for the selected ready-to-use product. Confirm permitted brush use and required treatment criteria; hold uncertain compatibility or destination restrictions. Do not select a concentration, substitute a preservative or assume outdoor application permits later indoor use.</w:t>
      </w:r>
    </w:p>
    <w:p>
      <w:r>
        <w:rPr>
          <w:b/>
        </w:rPr>
        <w:t xml:space="preserve">Verification: </w:t>
      </w:r>
      <w:r>
        <w:t>Lead records product/formulation identity, wood use and the applicable treatment requirement.</w:t>
      </w:r>
    </w:p>
    <w:p>
      <w:r>
        <w:rPr>
          <w:b/>
        </w:rPr>
        <w:t xml:space="preserve">Reasoning: </w:t>
      </w:r>
      <w:r>
        <w:t>The application location and the wood’s eventual use both affect suitability.</w:t>
      </w:r>
    </w:p>
    <w:p>
      <w:pPr>
        <w:pStyle w:val="Heading2"/>
      </w:pPr>
      <w:r>
        <w:t>2 Establish the contained outdoor station</w:t>
      </w:r>
    </w:p>
    <w:p>
      <w:r>
        <w:rPr>
          <w:b/>
        </w:rPr>
        <w:t xml:space="preserve">Hazard: </w:t>
      </w:r>
      <w:r>
        <w:t>Combustible liquid, drifting vapor or uncontrolled drips can affect workers, ignition sources and water.</w:t>
      </w:r>
    </w:p>
    <w:p>
      <w:r>
        <w:rPr>
          <w:b/>
        </w:rPr>
        <w:t xml:space="preserve">Control: </w:t>
      </w:r>
      <w:r>
        <w:t>Place stock and containers on stable supports inside the planned catchment, away from traffic and sensitive drainage. Establish label/SDS ventilation and ignition controls, including nearby hot work. Prepare washing, eye-exposure response, spill supplies and emergency contact information. Keep access controlled and prevent runoff; do not begin if wind or rain defeats containment or exposure controls.</w:t>
      </w:r>
    </w:p>
    <w:p>
      <w:r>
        <w:rPr>
          <w:b/>
        </w:rPr>
        <w:t xml:space="preserve">Verification: </w:t>
      </w:r>
      <w:r>
        <w:t>Lead checks catchment, neighboring work, product-specific protection and usable response supplies.</w:t>
      </w:r>
    </w:p>
    <w:p>
      <w:r>
        <w:rPr>
          <w:b/>
        </w:rPr>
        <w:t xml:space="preserve">Reasoning: </w:t>
      </w:r>
      <w:r>
        <w:t>Outdoor air alone does not control skin contact, ignition or runoff.</w:t>
      </w:r>
    </w:p>
    <w:p>
      <w:pPr>
        <w:pStyle w:val="Heading2"/>
      </w:pPr>
      <w:r>
        <w:t>3 Check prepared ends and stage the product</w:t>
      </w:r>
    </w:p>
    <w:p>
      <w:r>
        <w:rPr>
          <w:b/>
        </w:rPr>
        <w:t xml:space="preserve">Hazard: </w:t>
      </w:r>
      <w:r>
        <w:t>Dirty or damp wood can compromise treatment; opening containers can splash or contaminate hands.</w:t>
      </w:r>
    </w:p>
    <w:p>
      <w:r>
        <w:rPr>
          <w:b/>
        </w:rPr>
        <w:t xml:space="preserve">Control: </w:t>
      </w:r>
      <w:r>
        <w:t>Verify the already prepared ends meet the label’s substrate conditions without sanding, sawing or drilling under this scope. Use identified compatible brushes and small stable application containers. Wear the actual label/SDS-required protection and prepare the ready-to-use product only as directed. Keep containers labeled and closed between transfers; no dilution or improvised mixing is included.</w:t>
      </w:r>
    </w:p>
    <w:p>
      <w:r>
        <w:rPr>
          <w:b/>
        </w:rPr>
        <w:t xml:space="preserve">Verification: </w:t>
      </w:r>
      <w:r>
        <w:t>Applicator checks end condition, tools, container identity and the permitted preparation method.</w:t>
      </w:r>
    </w:p>
    <w:p>
      <w:r>
        <w:rPr>
          <w:b/>
        </w:rPr>
        <w:t xml:space="preserve">Reasoning: </w:t>
      </w:r>
      <w:r>
        <w:t>A treatment requirement does not authorize additional machining or chemical mixing.</w:t>
      </w:r>
    </w:p>
    <w:p>
      <w:r>
        <w:br w:type="page"/>
      </w:r>
    </w:p>
    <w:p>
      <w:pPr>
        <w:pStyle w:val="Heading1"/>
      </w:pPr>
      <w:r>
        <w:t>Complete the work and hand over</w:t>
      </w:r>
    </w:p>
    <w:p>
      <w:pPr>
        <w:pStyle w:val="Heading2"/>
      </w:pPr>
      <w:r>
        <w:t>4 Brush the specified cut-end treatment</w:t>
      </w:r>
    </w:p>
    <w:p>
      <w:r>
        <w:rPr>
          <w:b/>
        </w:rPr>
        <w:t xml:space="preserve">Hazard: </w:t>
      </w:r>
      <w:r>
        <w:t>Liquid on skin or clothing and missed surfaces can create exposure and incomplete protection.</w:t>
      </w:r>
    </w:p>
    <w:p>
      <w:r>
        <w:rPr>
          <w:b/>
        </w:rPr>
        <w:t xml:space="preserve">Control: </w:t>
      </w:r>
      <w:r>
        <w:t>Apply by the actual brush method while stock remains restrained and drips enter containment. Treat the designated exposed cut surfaces under the label and project criteria without spraying or producing mist. Avoid leaning against wet stock and wash contamination using the arranged response. Stop for incompatible surfaces or uncontrolled drips; follow the actual reapplication and handling conditions rather than a universal coat count.</w:t>
      </w:r>
    </w:p>
    <w:p>
      <w:r>
        <w:rPr>
          <w:b/>
        </w:rPr>
        <w:t xml:space="preserve">Verification: </w:t>
      </w:r>
      <w:r>
        <w:t>Applicator records treated locations and checks coverage/conditions against the actual instructions.</w:t>
      </w:r>
    </w:p>
    <w:p>
      <w:r>
        <w:rPr>
          <w:b/>
        </w:rPr>
        <w:t xml:space="preserve">Reasoning: </w:t>
      </w:r>
      <w:r>
        <w:t>Treatment completeness and exposure control must be maintained during every application.</w:t>
      </w:r>
    </w:p>
    <w:p>
      <w:pPr>
        <w:pStyle w:val="Heading2"/>
      </w:pPr>
      <w:r>
        <w:t>5 Protect the treated stock and handling hold</w:t>
      </w:r>
    </w:p>
    <w:p>
      <w:r>
        <w:rPr>
          <w:b/>
        </w:rPr>
        <w:t xml:space="preserve">Hazard: </w:t>
      </w:r>
      <w:r>
        <w:t>Premature stacking or transfer can spread wet preservative and obscure unaccepted ends.</w:t>
      </w:r>
    </w:p>
    <w:p>
      <w:r>
        <w:rPr>
          <w:b/>
        </w:rPr>
        <w:t xml:space="preserve">Control: </w:t>
      </w:r>
      <w:r>
        <w:t>Keep stock identified and protected in the permitted supported arrangement through the product-defined application and handling period. Avoid contact with untreated materials, occupants or prohibited uses. Check the required treatment findings and record incomplete ends or exposure events. Maintain containment and weather protection; neither a dry-looking surface nor reduced odor establishes acceptance for the next operation.</w:t>
      </w:r>
    </w:p>
    <w:p>
      <w:r>
        <w:rPr>
          <w:b/>
        </w:rPr>
        <w:t xml:space="preserve">Verification: </w:t>
      </w:r>
      <w:r>
        <w:t>Treatment lead records protected stock status and the conditions required before transfer.</w:t>
      </w:r>
    </w:p>
    <w:p>
      <w:r>
        <w:rPr>
          <w:b/>
        </w:rPr>
        <w:t xml:space="preserve">Reasoning: </w:t>
      </w:r>
      <w:r>
        <w:t>The product’s handling criteria cannot be replaced by appearance or smell.</w:t>
      </w:r>
    </w:p>
    <w:p>
      <w:pPr>
        <w:pStyle w:val="Heading2"/>
      </w:pPr>
      <w:r>
        <w:t>6 Close containers and manage contaminated waste</w:t>
      </w:r>
    </w:p>
    <w:p>
      <w:r>
        <w:rPr>
          <w:b/>
        </w:rPr>
        <w:t xml:space="preserve">Hazard: </w:t>
      </w:r>
      <w:r>
        <w:t>Improper rinsing, discarded brushes or residue can spread pesticide and combustible contamination.</w:t>
      </w:r>
    </w:p>
    <w:p>
      <w:r>
        <w:rPr>
          <w:b/>
        </w:rPr>
        <w:t xml:space="preserve">Control: </w:t>
      </w:r>
      <w:r>
        <w:t>Secure remaining product in its labeled storage arrangement. Manage brushes, contaminated absorbents, rinsate and empty containers through the actual label/SDS and site disposal method, retaining containment throughout. Do not reuse a prohibited container or discharge residue to drains or soil. Clean personal protection as instructed and transfer stock identity, treatment findings and any remaining installation hold.</w:t>
      </w:r>
    </w:p>
    <w:p>
      <w:r>
        <w:rPr>
          <w:b/>
        </w:rPr>
        <w:t xml:space="preserve">Verification: </w:t>
      </w:r>
      <w:r>
        <w:t>Lead verifies secured storage, controlled waste and a documented treated-stock handover.</w:t>
      </w:r>
    </w:p>
    <w:p>
      <w:r>
        <w:rPr>
          <w:b/>
        </w:rPr>
        <w:t xml:space="preserve">Reasoning: </w:t>
      </w:r>
      <w:r>
        <w:t>Chemical closeout includes tools and residue, not just the product container.</w:t>
      </w:r>
    </w:p>
    <w:p>
      <w:pPr>
        <w:pStyle w:val="Heading2"/>
      </w:pPr>
      <w:r>
        <w:t>Pause and reassess</w:t>
      </w:r>
    </w:p>
    <w:p>
      <w:pPr>
        <w:pStyle w:val="ListBullet"/>
      </w:pPr>
      <w:r>
        <w:t>The label, SDS, formulation, exterior use or original wood-treatment compatibility cannot be confirmed.</w:t>
      </w:r>
    </w:p>
    <w:p>
      <w:pPr>
        <w:pStyle w:val="ListBullet"/>
      </w:pPr>
      <w:r>
        <w:t>Containment, ventilation, ignition separation or washing/response controls fail, or product reaches clothing, drains or a sensitive area.</w:t>
      </w:r>
    </w:p>
    <w:p>
      <w:pPr>
        <w:pStyle w:val="ListBullet"/>
      </w:pPr>
      <w:r>
        <w:t>Wet stock would be transferred before the actual handling criteria, or the task changes to spraying, indoor use, dilution or machining.</w:t>
      </w:r>
    </w:p>
    <w:p>
      <w:r>
        <w:br w:type="page"/>
      </w:r>
    </w:p>
    <w:p>
      <w:pPr>
        <w:pStyle w:val="Heading1"/>
      </w:pPr>
      <w:r>
        <w:t>Improve the controls</w:t>
      </w:r>
    </w:p>
    <w:p>
      <w:r>
        <w:rPr>
          <w:b/>
        </w:rPr>
        <w:t xml:space="preserve">Needs improvement: </w:t>
      </w:r>
      <w:r>
        <w:t>Any preservative is fine for a treated plate.</w:t>
      </w:r>
    </w:p>
    <w:p>
      <w:r>
        <w:rPr>
          <w:b/>
        </w:rPr>
        <w:t xml:space="preserve">More useful: </w:t>
      </w:r>
      <w:r>
        <w:t>Match the exact registered product, original treatment and permitted final wood use before brush application.</w:t>
      </w:r>
    </w:p>
    <w:p>
      <w:r>
        <w:rPr>
          <w:b/>
        </w:rPr>
        <w:t xml:space="preserve">Needs improvement: </w:t>
      </w:r>
      <w:r>
        <w:t>The ends look dry; rinse the brushes into the drain.</w:t>
      </w:r>
    </w:p>
    <w:p>
      <w:r>
        <w:rPr>
          <w:b/>
        </w:rPr>
        <w:t xml:space="preserve">More useful: </w:t>
      </w:r>
      <w:r>
        <w:t>Keep the handling hold until actual product criteria are met and manage all tool residue, rinsate and containers through the label-directed controlled waste route.</w:t>
      </w:r>
    </w:p>
    <w:p>
      <w:pPr>
        <w:pStyle w:val="Heading2"/>
      </w:pPr>
      <w:r>
        <w:t>Decisions that change the analysis</w:t>
      </w:r>
    </w:p>
    <w:p>
      <w:r>
        <w:rPr>
          <w:b/>
        </w:rPr>
        <w:t>Does the published sill-plate example already cover this process?</w:t>
      </w:r>
    </w:p>
    <w:p>
      <w:r>
        <w:t>It requires any cut-end treatment to be completed before plate placement and excludes preservative application. This operation controls the complete preparation, chemical application, protected handling and waste cycle. It provides only a partial connection to sill/plate work; foundation attachment remains separately released.</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Actual preservative label/SDS instruction covering permitted uses, brush application, exposure protection, ignition prevention and contamination response.</w:t>
      </w:r>
    </w:p>
    <w:p>
      <w:pPr>
        <w:pStyle w:val="ListBullet"/>
      </w:pPr>
      <w:r>
        <w:t>Contained chemical staging, treated-stock identification, incompatible-use reporting and label-directed storage/container/waste handling.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Nisus QNAP2 exterior field end-cut treatment information</w:t>
        <w:br/>
        <w:t>https://nisuscorp.com/product/qnap2</w:t>
      </w:r>
    </w:p>
    <w:p>
      <w:r>
        <w:rPr>
          <w:sz w:val="18"/>
        </w:rPr>
        <w:t>Nisus QNAP2 registered specimen label</w:t>
        <w:br/>
        <w:t>https://nisuscorp.com/wp-content/uploads/download-manager-files/QNAP2_Label.pdf</w:t>
      </w:r>
    </w:p>
    <w:p>
      <w:r>
        <w:rPr>
          <w:sz w:val="18"/>
        </w:rPr>
        <w:t>Nisus QNAP2 with diesel safety data sheet</w:t>
        <w:br/>
        <w:t>https://nisuscorp.com/wp-content/uploads/download-manager-files/QNAP2-RTU-with-Diesel-Fuel-SDS_050322.pdf</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Treated Plate Cut-End Preservative Application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