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Powder-Actuated Wood Plate Fastening JHA</w:t>
      </w:r>
    </w:p>
    <w:p>
      <w:pPr>
        <w:pStyle w:val="Subtitle"/>
      </w:pPr>
      <w:r>
        <w:t>Worked instructional example</w:t>
      </w:r>
    </w:p>
    <w:p>
      <w:pPr>
        <w:pStyle w:val="Heading1"/>
      </w:pPr>
      <w:r>
        <w:t>Work and worksite</w:t>
      </w:r>
    </w:p>
    <w:p>
      <w:r>
        <w:t>A trained operator will fasten one prepared unloaded wood plate to a released conventional concrete building slab with an identified Hilti DX 6 powder-actuated system. The approved plate connection and actual tool, fastener and cartridge instructions govern test fastening, controlled production and safe fault handling. Work remains at a separated ground-level station; no cast-in anchor rods are used. This fictional learning example describes planned controls; it records no actual inspection or work authorization.</w:t>
      </w:r>
    </w:p>
    <w:p>
      <w:pPr>
        <w:pStyle w:val="ListBullet"/>
      </w:pPr>
      <w:r>
        <w:t>The current connection detail accepts this direct-fastening method for the actual plate, concrete and load purpose. Substrate thickness, edges, embedded services and the full possible penetration path are released before firing.</w:t>
      </w:r>
    </w:p>
    <w:p>
      <w:pPr>
        <w:pStyle w:val="ListBullet"/>
      </w:pPr>
      <w:r>
        <w:t>The operator is trained for the particular tool. Current tool and consumable instructions, compatible shield/guard, daily unloaded safety-test method and manufacturer misfire procedure are available.</w:t>
      </w:r>
    </w:p>
    <w:p>
      <w:pPr>
        <w:pStyle w:val="ListBullet"/>
      </w:pPr>
      <w:r>
        <w:t>Sill/plate coverage is partial: prepared wood direct fastening only. Wood cutting, preservative application, wedge anchors, drilling, brittle masonry, steel work, explosive atmospheres and subsequent wall loading are excluded.</w:t>
      </w:r>
    </w:p>
    <w:p>
      <w:pPr>
        <w:pStyle w:val="Heading2"/>
      </w:pPr>
      <w:r>
        <w:t>Questions before work</w:t>
      </w:r>
    </w:p>
    <w:p>
      <w:pPr>
        <w:pStyle w:val="ListBullet"/>
      </w:pPr>
      <w:r>
        <w:t>What evidence accepts the complete tool, fastener, cartridge and plate connection for this substrate?</w:t>
      </w:r>
    </w:p>
    <w:p>
      <w:pPr>
        <w:pStyle w:val="ListBullet"/>
      </w:pPr>
      <w:r>
        <w:t>Who controls the area behind and around every possible fastener path?</w:t>
      </w:r>
    </w:p>
    <w:p>
      <w:pPr>
        <w:pStyle w:val="ListBullet"/>
      </w:pPr>
      <w:r>
        <w:t>How will a misfire or hot cartridge strip be held safely without improvised removal?</w:t>
      </w:r>
    </w:p>
    <w:p>
      <w:pPr>
        <w:pStyle w:val="Heading1"/>
        <w:pageBreakBefore/>
      </w:pPr>
      <w:r>
        <w:t>Task Hazard Control</w:t>
      </w:r>
    </w:p>
    <w:p>
      <w:pPr>
        <w:pStyle w:val="Heading2"/>
      </w:pPr>
      <w:r>
        <w:t>1 Release the plate and penetration path</w:t>
      </w:r>
    </w:p>
    <w:p>
      <w:r>
        <w:rPr>
          <w:b/>
        </w:rPr>
        <w:t xml:space="preserve">Hazard: </w:t>
      </w:r>
      <w:r>
        <w:t>A fastener can strike a service, pass through thin material or fail in an unsuitable substrate.</w:t>
      </w:r>
    </w:p>
    <w:p>
      <w:r>
        <w:rPr>
          <w:b/>
        </w:rPr>
        <w:t xml:space="preserve">Control: </w:t>
      </w:r>
      <w:r>
        <w:t>Fastening lead checks the issued plate connection and actual concrete investigation. Confirm permitted fastener locations, base thickness, edge conditions and space beyond the work. Resolve services and unsupported or brittle material before use. Establish the actual acceptance method; do not replace a specified structural anchor with a powder-driven pin simply because the tool is available.</w:t>
      </w:r>
    </w:p>
    <w:p>
      <w:r>
        <w:rPr>
          <w:b/>
        </w:rPr>
        <w:t xml:space="preserve">Verification: </w:t>
      </w:r>
      <w:r>
        <w:t>Lead records the accepted connection, substrate identity and cleared fastening path.</w:t>
      </w:r>
    </w:p>
    <w:p>
      <w:r>
        <w:rPr>
          <w:b/>
        </w:rPr>
        <w:t xml:space="preserve">Reasoning: </w:t>
      </w:r>
      <w:r>
        <w:t>Tool suitability and structural connection acceptance are separate decisions.</w:t>
      </w:r>
    </w:p>
    <w:p>
      <w:pPr>
        <w:pStyle w:val="Heading2"/>
      </w:pPr>
      <w:r>
        <w:t>2 Test the unloaded tool and match components</w:t>
      </w:r>
    </w:p>
    <w:p>
      <w:r>
        <w:rPr>
          <w:b/>
        </w:rPr>
        <w:t xml:space="preserve">Hazard: </w:t>
      </w:r>
      <w:r>
        <w:t>A defective safety device or incompatible piston, shield or cartridge can cause unintended discharge.</w:t>
      </w:r>
    </w:p>
    <w:p>
      <w:r>
        <w:rPr>
          <w:b/>
        </w:rPr>
        <w:t xml:space="preserve">Control: </w:t>
      </w:r>
      <w:r>
        <w:t>The particular-tool trained operator identifies the actual model, fastener guide, piston, buffer, shield/attachment and consumables against current instructions. Before loading each day, perform the manufacturer’s safety-device test and required inspection. Remove defective equipment from service. Keep hands clear of the barrel and never point even an empty tool toward a person.</w:t>
      </w:r>
    </w:p>
    <w:p>
      <w:r>
        <w:rPr>
          <w:b/>
        </w:rPr>
        <w:t xml:space="preserve">Verification: </w:t>
      </w:r>
      <w:r>
        <w:t>Operator records daily unloaded-test findings and the matched component configuration.</w:t>
      </w:r>
    </w:p>
    <w:p>
      <w:r>
        <w:rPr>
          <w:b/>
        </w:rPr>
        <w:t xml:space="preserve">Reasoning: </w:t>
      </w:r>
      <w:r>
        <w:t>A familiar brand name does not establish a functioning compatible tool.</w:t>
      </w:r>
    </w:p>
    <w:p>
      <w:pPr>
        <w:pStyle w:val="Heading2"/>
      </w:pPr>
      <w:r>
        <w:t>3 Set the boundary and verify trial fastening</w:t>
      </w:r>
    </w:p>
    <w:p>
      <w:r>
        <w:rPr>
          <w:b/>
        </w:rPr>
        <w:t xml:space="preserve">Hazard: </w:t>
      </w:r>
      <w:r>
        <w:t>Splinters, noise or an excessive driving setting can expose others or damage the plate and slab.</w:t>
      </w:r>
    </w:p>
    <w:p>
      <w:r>
        <w:rPr>
          <w:b/>
        </w:rPr>
        <w:t xml:space="preserve">Control: </w:t>
      </w:r>
      <w:r>
        <w:t>Control both the firing station and backside, confirming an atmosphere free of explosive or flammable conditions. Support the plate and arrange required eye, hearing and other protection for affected people. Follow the actual manufacturer and connection method for trial fastening and permitted energy selection; inspect the result before production rather than copying a cartridge color or setting.</w:t>
      </w:r>
    </w:p>
    <w:p>
      <w:r>
        <w:rPr>
          <w:b/>
        </w:rPr>
        <w:t xml:space="preserve">Verification: </w:t>
      </w:r>
      <w:r>
        <w:t>Lead checks boundary, atmosphere, protection and recorded trial acceptance.</w:t>
      </w:r>
    </w:p>
    <w:p>
      <w:r>
        <w:rPr>
          <w:b/>
        </w:rPr>
        <w:t xml:space="preserve">Reasoning: </w:t>
      </w:r>
      <w:r>
        <w:t>A test result applies to the actual connection and material conditions.</w:t>
      </w:r>
    </w:p>
    <w:p>
      <w:pPr>
        <w:pStyle w:val="Heading1"/>
        <w:pageBreakBefore/>
      </w:pPr>
      <w:r>
        <w:t>Complete the work and hand over</w:t>
      </w:r>
    </w:p>
    <w:p>
      <w:pPr>
        <w:pStyle w:val="Heading2"/>
      </w:pPr>
      <w:r>
        <w:t>4 Load immediately before controlled firing</w:t>
      </w:r>
    </w:p>
    <w:p>
      <w:r>
        <w:rPr>
          <w:b/>
        </w:rPr>
        <w:t xml:space="preserve">Hazard: </w:t>
      </w:r>
      <w:r>
        <w:t>A loaded unattended tool, hand near the muzzle or poor contact can produce a serious projectile injury.</w:t>
      </w:r>
    </w:p>
    <w:p>
      <w:r>
        <w:rPr>
          <w:b/>
        </w:rPr>
        <w:t xml:space="preserve">Control: </w:t>
      </w:r>
      <w:r>
        <w:t>Load only just before intended firing under the identified instructions. Maintain stable stance, the prescribed gripping surfaces, correct shield and fully supported contact with the work. Keep helpers outside discharge and fragment paths. Fire by the actual tool method and observe each result; never re-drive a defective fastener or fire into its spalled area.</w:t>
      </w:r>
    </w:p>
    <w:p>
      <w:r>
        <w:rPr>
          <w:b/>
        </w:rPr>
        <w:t xml:space="preserve">Verification: </w:t>
      </w:r>
      <w:r>
        <w:t>Operator verifies safe contact and checks fastening condition as work advances.</w:t>
      </w:r>
    </w:p>
    <w:p>
      <w:r>
        <w:rPr>
          <w:b/>
        </w:rPr>
        <w:t xml:space="preserve">Reasoning: </w:t>
      </w:r>
      <w:r>
        <w:t>Safe orientation and supported contact must remain effective for every discharge.</w:t>
      </w:r>
    </w:p>
    <w:p>
      <w:pPr>
        <w:pStyle w:val="Heading2"/>
      </w:pPr>
      <w:r>
        <w:t>5 Hold a misfire or overheating condition</w:t>
      </w:r>
    </w:p>
    <w:p>
      <w:r>
        <w:rPr>
          <w:b/>
        </w:rPr>
        <w:t xml:space="preserve">Hazard: </w:t>
      </w:r>
      <w:r>
        <w:t>A delayed cartridge ignition or forced strip removal can discharge unexpectedly or expose the operator to heat.</w:t>
      </w:r>
    </w:p>
    <w:p>
      <w:r>
        <w:rPr>
          <w:b/>
        </w:rPr>
        <w:t xml:space="preserve">Control: </w:t>
      </w:r>
      <w:r>
        <w:t>Stop production. Keep safe orientation and separation while following the applicable manufacturer branch for a normal-temperature misfire, overheated misfire or jammed compressed tool. Maintain observation and the controlled area. Use no invented waiting time, prying, striking or force to remove a trapped cartridge. Follow the applicable cooling and unloading route; if safe removal cannot be established, prevent access and obtain authorized Hilti service assistance.</w:t>
      </w:r>
    </w:p>
    <w:p>
      <w:r>
        <w:rPr>
          <w:b/>
        </w:rPr>
        <w:t xml:space="preserve">Verification: </w:t>
      </w:r>
      <w:r>
        <w:t>Operator records the fault and verifies the instructed safe state before any permitted intervention.</w:t>
      </w:r>
    </w:p>
    <w:p>
      <w:r>
        <w:rPr>
          <w:b/>
        </w:rPr>
        <w:t xml:space="preserve">Reasoning: </w:t>
      </w:r>
      <w:r>
        <w:t>A failed discharge does not prove that the cartridge is harmless.</w:t>
      </w:r>
    </w:p>
    <w:p>
      <w:pPr>
        <w:pStyle w:val="Heading2"/>
      </w:pPr>
      <w:r>
        <w:t>6 Unload and transfer connection findings</w:t>
      </w:r>
    </w:p>
    <w:p>
      <w:r>
        <w:rPr>
          <w:b/>
        </w:rPr>
        <w:t xml:space="preserve">Hazard: </w:t>
      </w:r>
      <w:r>
        <w:t>Remaining cartridges or unaccepted plate fixings can expose the next crew to discharge or failed restraint.</w:t>
      </w:r>
    </w:p>
    <w:p>
      <w:r>
        <w:rPr>
          <w:b/>
        </w:rPr>
        <w:t xml:space="preserve">Control: </w:t>
      </w:r>
      <w:r>
        <w:t>Unload cartridges and fasteners as instructed before breaks, transport, cleaning or storage. Secure tool and unused cartridges in their designated storage; contain spent strips through the actual disposal method. Record unacceptable fastenings for the connection reviewer and communicate plate status. Production completion does not authorize wall raising or application of construction loads.</w:t>
      </w:r>
    </w:p>
    <w:p>
      <w:r>
        <w:rPr>
          <w:b/>
        </w:rPr>
        <w:t xml:space="preserve">Verification: </w:t>
      </w:r>
      <w:r>
        <w:t>Lead verifies unloaded storage, controlled cartridge waste and the connection handover.</w:t>
      </w:r>
    </w:p>
    <w:p>
      <w:r>
        <w:rPr>
          <w:b/>
        </w:rPr>
        <w:t xml:space="preserve">Reasoning: </w:t>
      </w:r>
      <w:r>
        <w:t>The operation ends with safe equipment and an understood connection state.</w:t>
      </w:r>
    </w:p>
    <w:p>
      <w:pPr>
        <w:pStyle w:val="Heading2"/>
      </w:pPr>
      <w:r>
        <w:t>Pause and reassess</w:t>
      </w:r>
    </w:p>
    <w:p>
      <w:pPr>
        <w:pStyle w:val="ListBullet"/>
      </w:pPr>
      <w:r>
        <w:t>Tool-specific training, current instructions, daily unloaded safety test or connection/substrate acceptance is missing.</w:t>
      </w:r>
    </w:p>
    <w:p>
      <w:pPr>
        <w:pStyle w:val="ListBullet"/>
      </w:pPr>
      <w:r>
        <w:t>A person enters a discharge path, the correct shield fails, a misfire occurs or the tool/cartridge strip overheats.</w:t>
      </w:r>
    </w:p>
    <w:p>
      <w:pPr>
        <w:pStyle w:val="ListBullet"/>
      </w:pPr>
      <w:r>
        <w:t>Fastenings spall, fail acceptance or conflict with services, or loading would precede the connection release.</w:t>
      </w:r>
    </w:p>
    <w:p>
      <w:pPr>
        <w:pStyle w:val="Heading1"/>
        <w:pageBreakBefore/>
      </w:pPr>
      <w:r>
        <w:t>Improve the controls</w:t>
      </w:r>
    </w:p>
    <w:p>
      <w:r>
        <w:rPr>
          <w:b/>
        </w:rPr>
        <w:t xml:space="preserve">Needs improvement: </w:t>
      </w:r>
      <w:r>
        <w:t>Use the same cartridge everywhere.</w:t>
      </w:r>
    </w:p>
    <w:p>
      <w:r>
        <w:rPr>
          <w:b/>
        </w:rPr>
        <w:t xml:space="preserve">More useful: </w:t>
      </w:r>
      <w:r>
        <w:t>Use the actual compatible consumables and accepted trial method for this connection; hold changed material or failed results.</w:t>
      </w:r>
    </w:p>
    <w:p>
      <w:r>
        <w:rPr>
          <w:b/>
        </w:rPr>
        <w:t xml:space="preserve">Needs improvement: </w:t>
      </w:r>
      <w:r>
        <w:t>The cartridge did not fire; pull it out.</w:t>
      </w:r>
    </w:p>
    <w:p>
      <w:r>
        <w:rPr>
          <w:b/>
        </w:rPr>
        <w:t xml:space="preserve">More useful: </w:t>
      </w:r>
      <w:r>
        <w:t>Maintain the tool-specific misfire hold, controlled orientation and safe cooling/unloading route; obtain service for trapped cartridges.</w:t>
      </w:r>
    </w:p>
    <w:p>
      <w:pPr>
        <w:pStyle w:val="Heading2"/>
      </w:pPr>
      <w:r>
        <w:t>Decisions that change the analysis</w:t>
      </w:r>
    </w:p>
    <w:p>
      <w:r>
        <w:rPr>
          <w:b/>
        </w:rPr>
        <w:t>Does this repeat the existing sill or nail-gun examples?</w:t>
      </w:r>
    </w:p>
    <w:p>
      <w:r>
        <w:t>The sill example fits prepared plates over cast-in rods. The pneumatic nailer joins supported wood using compressed air. This cycle uses propellant cartridges, a tested piston/shield system, substrate penetration checks and delayed-ignition fault controls. It provides only partial plate-fastening coverage.</w:t>
      </w:r>
    </w:p>
    <w:p>
      <w:r>
        <w:rPr>
          <w:b/>
        </w:rPr>
        <w:t>What must the crew record for actual use?</w:t>
      </w:r>
    </w:p>
    <w:p>
      <w:r>
        <w:t>Record the actual work boundary, governing documents, responsible people, acceptance criteria, control findings and unresolved actions. Communicate restrictions and obtain required project authorization; this fictional example records no completed inspection or installed-control acceptance.</w:t>
      </w:r>
    </w:p>
    <w:p>
      <w:pPr>
        <w:pStyle w:val="Heading2"/>
      </w:pPr>
      <w:r>
        <w:t>Training needs</w:t>
      </w:r>
    </w:p>
    <w:p>
      <w:pPr>
        <w:pStyle w:val="ListBullet"/>
      </w:pPr>
      <w:r>
        <w:t>Particular-tool powder-actuated training covering unloaded daily safety testing, compatible consumables, safe firing, misfire response and unloading.</w:t>
      </w:r>
    </w:p>
    <w:p>
      <w:pPr>
        <w:pStyle w:val="ListBullet"/>
      </w:pPr>
      <w:r>
        <w:t>Substrate and backside verification, controlled work boundaries, eye/hearing protection and reporting unacceptable fastenings before loading.</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Hilti USA DX 6 MX applications and current documents</w:t>
        <w:br/>
        <w:t>https://www.hilti.com/c/CLS_POWER_TOOLS_7125/CLS_DIRECT_FASTENING_7125/r11908223</w:t>
      </w:r>
    </w:p>
    <w:p>
      <w:r>
        <w:rPr>
          <w:sz w:val="18"/>
        </w:rPr>
        <w:t>Hilti DX 6 (02), operating instructions 2471242</w:t>
        <w:br/>
        <w:t>https://productdata.hilti.com/APQ_HC_RAW/PUB_7006970_000.pdf</w:t>
      </w:r>
    </w:p>
    <w:p>
      <w:r>
        <w:rPr>
          <w:sz w:val="18"/>
        </w:rPr>
        <w:t>OSHA 1926.302: powder-actuated tool requirements</w:t>
        <w:br/>
        <w:t>https://www.osha.gov/laws-regs/regulations/standardnumber/1926/1926.302</w:t>
      </w:r>
    </w:p>
    <w:p>
      <w:r>
        <w:t>References reviewed October 13,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8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Powder-Actuated Wood Plate Fastening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