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Precast Grouted Sleeve Connection JHA</w:t>
      </w:r>
    </w:p>
    <w:p>
      <w:pPr>
        <w:pStyle w:val="Subtitle"/>
      </w:pPr>
      <w:r>
        <w:t>Worked instructional example</w:t>
      </w:r>
    </w:p>
    <w:p>
      <w:pPr>
        <w:pStyle w:val="Heading1"/>
      </w:pPr>
      <w:r>
        <w:t>Work and worksite</w:t>
      </w:r>
    </w:p>
    <w:p>
      <w:r>
        <w:t>A trained connection crew will complete identified post-grouted mechanical reinforcement sleeves in an already erected, independently supported precast building member. The accepted sleeve system, project connection detail and actual filling procedure govern preparation, grout mixing, filling verification and the later strength-based load decision. Temporary member support remains in place throughout this operation. This fictional learning example describes planned controls; it records no actual inspection or work authorization.</w:t>
      </w:r>
    </w:p>
    <w:p>
      <w:pPr>
        <w:pStyle w:val="ListBullet"/>
      </w:pPr>
      <w:r>
        <w:t>Current producer/project records establish sleeve identity, reinforcing-bar insertion and connection readiness before the grout operation is released.</w:t>
      </w:r>
    </w:p>
    <w:p>
      <w:pPr>
        <w:pStyle w:val="ListBullet"/>
      </w:pPr>
      <w:r>
        <w:t>Only the selected system’s specified grout, compatible equipment and actual instructions are used; port arrangement and filling acceptance are not inferred from a generic grout method.</w:t>
      </w:r>
    </w:p>
    <w:p>
      <w:pPr>
        <w:pStyle w:val="ListBullet"/>
      </w:pPr>
      <w:r>
        <w:t>This is partial precast connection coverage. Member erection, baseplate bearing grout, masonry grout, pressure-injection repair, weld completion and removing temporary supports are excluded.</w:t>
      </w:r>
    </w:p>
    <w:p>
      <w:pPr>
        <w:pStyle w:val="Heading2"/>
      </w:pPr>
      <w:r>
        <w:t>Questions before work</w:t>
      </w:r>
    </w:p>
    <w:p>
      <w:pPr>
        <w:pStyle w:val="ListBullet"/>
      </w:pPr>
      <w:r>
        <w:t>Who confirms each sleeve, bar engagement and accessible port/vent condition before the connection is filled?</w:t>
      </w:r>
    </w:p>
    <w:p>
      <w:pPr>
        <w:pStyle w:val="ListBullet"/>
      </w:pPr>
      <w:r>
        <w:t>What actual evidence establishes complete filling for this system, and how are interrupted or uncertain fills dispositioned?</w:t>
      </w:r>
    </w:p>
    <w:p>
      <w:pPr>
        <w:pStyle w:val="ListBullet"/>
      </w:pPr>
      <w:r>
        <w:t>Which strength, curing and acceptance records govern the later load decision while temporary supports remain in place?</w:t>
      </w:r>
    </w:p>
    <w:p>
      <w:r>
        <w:br w:type="page"/>
      </w:r>
    </w:p>
    <w:p>
      <w:pPr>
        <w:pStyle w:val="Heading1"/>
      </w:pPr>
      <w:r>
        <w:t>Task Hazard Control</w:t>
      </w:r>
    </w:p>
    <w:p>
      <w:pPr>
        <w:pStyle w:val="Heading2"/>
      </w:pPr>
      <w:r>
        <w:t>1 Release the supported connection for grouting</w:t>
      </w:r>
    </w:p>
    <w:p>
      <w:r>
        <w:rPr>
          <w:b/>
        </w:rPr>
        <w:t xml:space="preserve">Hazard: </w:t>
      </w:r>
      <w:r>
        <w:t>A wrong sleeve or unaccepted bar position can conceal an ineffective reinforcement connection.</w:t>
      </w:r>
    </w:p>
    <w:p>
      <w:r>
        <w:rPr>
          <w:b/>
        </w:rPr>
        <w:t xml:space="preserve">Control: </w:t>
      </w:r>
      <w:r>
        <w:t>Connection lead reviews the sleeve schedule, producer records and current project detail. Confirm actual member restraint and the required bar-engagement/readiness evidence; identify every connection to be filled and hold unresolved or inaccessible items for the responsible technical decision.</w:t>
      </w:r>
    </w:p>
    <w:p>
      <w:r>
        <w:rPr>
          <w:b/>
        </w:rPr>
        <w:t xml:space="preserve">Verification: </w:t>
      </w:r>
      <w:r>
        <w:t>Responsible reviewer checks sleeve identity, readiness evidence and continued support status.</w:t>
      </w:r>
    </w:p>
    <w:p>
      <w:r>
        <w:rPr>
          <w:b/>
        </w:rPr>
        <w:t xml:space="preserve">Reasoning: </w:t>
      </w:r>
      <w:r>
        <w:t>Grout cannot compensate for an unverified sleeve or bar arrangement.</w:t>
      </w:r>
    </w:p>
    <w:p>
      <w:pPr>
        <w:pStyle w:val="Heading2"/>
      </w:pPr>
      <w:r>
        <w:t>2 Prepare ports access and filling equipment</w:t>
      </w:r>
    </w:p>
    <w:p>
      <w:r>
        <w:rPr>
          <w:b/>
        </w:rPr>
        <w:t xml:space="preserve">Hazard: </w:t>
      </w:r>
      <w:r>
        <w:t>A blocked or misidentified port and an incompatible hose connection can cause uncontrolled discharge or an incomplete fill.</w:t>
      </w:r>
    </w:p>
    <w:p>
      <w:r>
        <w:rPr>
          <w:b/>
        </w:rPr>
        <w:t xml:space="preserve">Control: </w:t>
      </w:r>
      <w:r>
        <w:t>Trained crew follows the actual system preparation requirements for ports, vents and joint containment. Check compatible filling equipment and hose condition, protect worker routes and provide containment. Resolve the required fill path before use; do not probe or alter the system without authorization.</w:t>
      </w:r>
    </w:p>
    <w:p>
      <w:r>
        <w:rPr>
          <w:b/>
        </w:rPr>
        <w:t xml:space="preserve">Verification: </w:t>
      </w:r>
      <w:r>
        <w:t>Connection lead verifies the actual port arrangement and equipment match against the system instructions.</w:t>
      </w:r>
    </w:p>
    <w:p>
      <w:r>
        <w:rPr>
          <w:b/>
        </w:rPr>
        <w:t xml:space="preserve">Reasoning: </w:t>
      </w:r>
      <w:r>
        <w:t>The visible port is part of a specific internal connection path.</w:t>
      </w:r>
    </w:p>
    <w:p>
      <w:pPr>
        <w:pStyle w:val="Heading2"/>
      </w:pPr>
      <w:r>
        <w:t>3 Prepare the specified grout batch</w:t>
      </w:r>
    </w:p>
    <w:p>
      <w:r>
        <w:rPr>
          <w:b/>
        </w:rPr>
        <w:t xml:space="preserve">Hazard: </w:t>
      </w:r>
      <w:r>
        <w:t>Substituted grout or uncontrolled bag mixing can compromise the splice and expose workers to dust or caustic material.</w:t>
      </w:r>
    </w:p>
    <w:p>
      <w:r>
        <w:rPr>
          <w:b/>
        </w:rPr>
        <w:t xml:space="preserve">Control: </w:t>
      </w:r>
      <w:r>
        <w:t>Use only the identified sleeve-system grout and follow its measured mixing, storage and usable-time instructions. Control powder exposure and provide suitable skin/eye protection and washing. Record product lot, batch and the required condition measurements; do not change water or additives to force flow.</w:t>
      </w:r>
    </w:p>
    <w:p>
      <w:r>
        <w:rPr>
          <w:b/>
        </w:rPr>
        <w:t xml:space="preserve">Verification: </w:t>
      </w:r>
      <w:r>
        <w:t>Batch operator records actual mixing and condition results; lead checks them against the instructions.</w:t>
      </w:r>
    </w:p>
    <w:p>
      <w:r>
        <w:rPr>
          <w:b/>
        </w:rPr>
        <w:t xml:space="preserve">Reasoning: </w:t>
      </w:r>
      <w:r>
        <w:t>A bearing grout that looks similar is not automatically acceptable inside a reinforcing splice.</w:t>
      </w:r>
    </w:p>
    <w:p>
      <w:r>
        <w:br w:type="page"/>
      </w:r>
    </w:p>
    <w:p>
      <w:pPr>
        <w:pStyle w:val="Heading1"/>
      </w:pPr>
      <w:r>
        <w:t>Complete the work and hand over</w:t>
      </w:r>
    </w:p>
    <w:p>
      <w:pPr>
        <w:pStyle w:val="Heading2"/>
      </w:pPr>
      <w:r>
        <w:t>4 Fill and verify each connection</w:t>
      </w:r>
    </w:p>
    <w:p>
      <w:r>
        <w:rPr>
          <w:b/>
        </w:rPr>
        <w:t xml:space="preserve">Hazard: </w:t>
      </w:r>
      <w:r>
        <w:t>Incomplete filling can remain hidden, while a blockage can tempt unsafe pressure-side intervention.</w:t>
      </w:r>
    </w:p>
    <w:p>
      <w:r>
        <w:rPr>
          <w:b/>
        </w:rPr>
        <w:t xml:space="preserve">Control: </w:t>
      </w:r>
      <w:r>
        <w:t>Operator uses the actual manufacturer-approved fill sequence and acceptance indicators with workers clear of discharge exposure. Record connection-by-connection observations. Stop for lost return, leakage, blockage or interruption; make equipment safe by its procedure and obtain the system’s correction decision before resuming.</w:t>
      </w:r>
    </w:p>
    <w:p>
      <w:r>
        <w:rPr>
          <w:b/>
        </w:rPr>
        <w:t xml:space="preserve">Verification: </w:t>
      </w:r>
      <w:r>
        <w:t>Assigned verifier records the specified fill evidence and identifies uncertain connections for hold.</w:t>
      </w:r>
    </w:p>
    <w:p>
      <w:r>
        <w:rPr>
          <w:b/>
        </w:rPr>
        <w:t xml:space="preserve">Reasoning: </w:t>
      </w:r>
      <w:r>
        <w:t>No universal pressure setting or port-valve recipe proves complete sleeve fill.</w:t>
      </w:r>
    </w:p>
    <w:p>
      <w:pPr>
        <w:pStyle w:val="Heading2"/>
      </w:pPr>
      <w:r>
        <w:t>5 Preserve curing and traceability</w:t>
      </w:r>
    </w:p>
    <w:p>
      <w:r>
        <w:rPr>
          <w:b/>
        </w:rPr>
        <w:t xml:space="preserve">Hazard: </w:t>
      </w:r>
      <w:r>
        <w:t>Early loading, disturbed containment or a missing connection record can leave the structural condition uncertain.</w:t>
      </w:r>
    </w:p>
    <w:p>
      <w:r>
        <w:rPr>
          <w:b/>
        </w:rPr>
        <w:t xml:space="preserve">Control: </w:t>
      </w:r>
      <w:r>
        <w:t>Protect completed ports and joint areas as specified without disturbing temporary support. Track the actual connection IDs, batch use, curing conditions and required samples/tests. Mark held connections and retain loading restrictions while acceptance evidence is pending.</w:t>
      </w:r>
    </w:p>
    <w:p>
      <w:r>
        <w:rPr>
          <w:b/>
        </w:rPr>
        <w:t xml:space="preserve">Verification: </w:t>
      </w:r>
      <w:r>
        <w:t>Connection lead reconciles filled/held IDs with batch and required curing/testing records.</w:t>
      </w:r>
    </w:p>
    <w:p>
      <w:r>
        <w:rPr>
          <w:b/>
        </w:rPr>
        <w:t xml:space="preserve">Reasoning: </w:t>
      </w:r>
      <w:r>
        <w:t>The later decision needs evidence tied to each actual connection, not only a grout delivery ticket.</w:t>
      </w:r>
    </w:p>
    <w:p>
      <w:pPr>
        <w:pStyle w:val="Heading2"/>
      </w:pPr>
      <w:r>
        <w:t>6 Complete safe closeout and structural handover</w:t>
      </w:r>
    </w:p>
    <w:p>
      <w:r>
        <w:rPr>
          <w:b/>
        </w:rPr>
        <w:t xml:space="preserve">Hazard: </w:t>
      </w:r>
      <w:r>
        <w:t>Residual equipment energy or an assumed brace release can injure workers or destabilize the precast member.</w:t>
      </w:r>
    </w:p>
    <w:p>
      <w:r>
        <w:rPr>
          <w:b/>
        </w:rPr>
        <w:t xml:space="preserve">Control: </w:t>
      </w:r>
      <w:r>
        <w:t>Clean equipment using its prescribed safe shutdown and cleaning method and collect grout waste. Submit the required connection, fill and acceptance records to the designated reviewer. Maintain member support and state unresolved items and load restrictions; a separate released support-removal operation is required.</w:t>
      </w:r>
    </w:p>
    <w:p>
      <w:r>
        <w:rPr>
          <w:b/>
        </w:rPr>
        <w:t xml:space="preserve">Verification: </w:t>
      </w:r>
      <w:r>
        <w:t>Reviewer records the actual acceptance disposition; lead verifies safe equipment and restricted handover.</w:t>
      </w:r>
    </w:p>
    <w:p>
      <w:r>
        <w:rPr>
          <w:b/>
        </w:rPr>
        <w:t xml:space="preserve">Reasoning: </w:t>
      </w:r>
      <w:r>
        <w:t>Completing grouting does not itself authorize loading or brace removal.</w:t>
      </w:r>
    </w:p>
    <w:p>
      <w:pPr>
        <w:pStyle w:val="Heading2"/>
      </w:pPr>
      <w:r>
        <w:t>Pause and reassess</w:t>
      </w:r>
    </w:p>
    <w:p>
      <w:pPr>
        <w:pStyle w:val="ListBullet"/>
      </w:pPr>
      <w:r>
        <w:t>Sleeve identity, bar engagement, port condition or member support cannot be verified against current records.</w:t>
      </w:r>
    </w:p>
    <w:p>
      <w:pPr>
        <w:pStyle w:val="ListBullet"/>
      </w:pPr>
      <w:r>
        <w:t>Specified fill indicators are lost, a leak/blockage occurs or an interruption makes complete fill uncertain.</w:t>
      </w:r>
    </w:p>
    <w:p>
      <w:pPr>
        <w:pStyle w:val="ListBullet"/>
      </w:pPr>
      <w:r>
        <w:t>Grout batch, usable conditions, curing evidence or connection traceability fails the system/project requirements.</w:t>
      </w:r>
    </w:p>
    <w:p>
      <w:r>
        <w:br w:type="page"/>
      </w:r>
    </w:p>
    <w:p>
      <w:pPr>
        <w:pStyle w:val="Heading1"/>
      </w:pPr>
      <w:r>
        <w:t>Improve the controls</w:t>
      </w:r>
    </w:p>
    <w:p>
      <w:r>
        <w:rPr>
          <w:b/>
        </w:rPr>
        <w:t xml:space="preserve">Needs improvement: </w:t>
      </w:r>
      <w:r>
        <w:t>Use nonshrink grout and pump until it looks full.</w:t>
      </w:r>
    </w:p>
    <w:p>
      <w:r>
        <w:rPr>
          <w:b/>
        </w:rPr>
        <w:t xml:space="preserve">More useful: </w:t>
      </w:r>
      <w:r>
        <w:t>Crew uses the identified sleeve-system grout and actual filling procedure; verifier records the specified acceptance evidence for each connection and holds uncertain fills.</w:t>
      </w:r>
    </w:p>
    <w:p>
      <w:r>
        <w:rPr>
          <w:b/>
        </w:rPr>
        <w:t xml:space="preserve">Needs improvement: </w:t>
      </w:r>
      <w:r>
        <w:t>The grout has set, so remove the braces.</w:t>
      </w:r>
    </w:p>
    <w:p>
      <w:r>
        <w:rPr>
          <w:b/>
        </w:rPr>
        <w:t xml:space="preserve">More useful: </w:t>
      </w:r>
      <w:r>
        <w:t>Reviewer evaluates the required actual connection and strength/curing evidence; support removal remains a separately released operation under the erection design.</w:t>
      </w:r>
    </w:p>
    <w:p>
      <w:pPr>
        <w:pStyle w:val="Heading2"/>
      </w:pPr>
      <w:r>
        <w:t>Decisions that change the analysis</w:t>
      </w:r>
    </w:p>
    <w:p>
      <w:r>
        <w:rPr>
          <w:b/>
        </w:rPr>
        <w:t>Is this another version of baseplate grouting?</w:t>
      </w:r>
    </w:p>
    <w:p>
      <w:r>
        <w:t>No. Baseplate grout provides bearing beneath an installed steel plate. A grouted mechanical sleeve transfers force between reinforcing bars inside a precast connection and has system-specific engagement, complete-fill and traceability requirements.</w:t>
      </w:r>
    </w:p>
    <w:p>
      <w:r>
        <w:rPr>
          <w:b/>
        </w:rPr>
        <w:t>What must the crew record for actual use?</w:t>
      </w:r>
    </w:p>
    <w:p>
      <w:r>
        <w:t>Record the member/connection and sleeve IDs, detail and instruction revisions, readiness/bar-engagement evidence, continued support, equipment and grout lots/batches, actual filling observations, held or corrected connections, curing/test results and the reviewer’s acceptance and load restrictions.</w:t>
      </w:r>
    </w:p>
    <w:p>
      <w:pPr>
        <w:pStyle w:val="Heading2"/>
      </w:pPr>
      <w:r>
        <w:t>Training needs</w:t>
      </w:r>
    </w:p>
    <w:p>
      <w:pPr>
        <w:pStyle w:val="ListBullet"/>
      </w:pPr>
      <w:r>
        <w:t>Sleeve-system-specific preparation, product mixing and approved grout-equipment operation, including the filling hold points and safe response to blocked or uncertain fill.</w:t>
      </w:r>
    </w:p>
    <w:p>
      <w:pPr>
        <w:pStyle w:val="ListBullet"/>
      </w:pPr>
      <w:r>
        <w:t>Instruction in required connection/batch records, cement skin and dust protection and the boundary between grout completion and a separate structural load/support release.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NMB Splice Sleeve North America System</w:t>
        <w:br/>
        <w:t>https://www.splicesleeve.com/systems-0</w:t>
      </w:r>
    </w:p>
    <w:p>
      <w:r>
        <w:rPr>
          <w:sz w:val="18"/>
        </w:rPr>
        <w:t>NMB Products and specified sleeve grout</w:t>
        <w:br/>
        <w:t>https://www.splicesleeve.com/products-0</w:t>
      </w:r>
    </w:p>
    <w:p>
      <w:r>
        <w:rPr>
          <w:sz w:val="18"/>
        </w:rPr>
        <w:t>NMB Data Library and actual user-manual request</w:t>
        <w:br/>
        <w:t>https://www.splicesleeve.com/data-library-1</w:t>
      </w:r>
    </w:p>
    <w:p>
      <w:r>
        <w:rPr>
          <w:sz w:val="18"/>
        </w:rPr>
        <w:t>OSHA 1926.704 Precast member support</w:t>
        <w:br/>
        <w:t>https://www.osha.gov/laws-regs/regulations/standardnumber/1926/1926.704</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Precast Grouted Sleeve Connection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