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Sill Plate Installation JHA</w:t>
      </w:r>
    </w:p>
    <w:p>
      <w:pPr>
        <w:pStyle w:val="Subtitle"/>
      </w:pPr>
      <w:r>
        <w:t>Worked instructional example</w:t>
      </w:r>
    </w:p>
    <w:p>
      <w:pPr>
        <w:pStyle w:val="Heading1"/>
      </w:pPr>
      <w:r>
        <w:t>Work and worksite</w:t>
      </w:r>
    </w:p>
    <w:p>
      <w:r>
        <w:t>A framing crew will fit precut, predrilled preservative-treated sill plates and the specified gasket onto a released ground-level building foundation with existing cast-in anchor rods. A protected slab-side work route is available. This fictional learning example describes planned controls; it records no actual inspection or work authorization.</w:t>
      </w:r>
    </w:p>
    <w:p>
      <w:pPr>
        <w:pStyle w:val="ListBullet"/>
      </w:pPr>
      <w:r>
        <w:t>Foundation readiness, anchor layout, bearing and required hardware are released in the current framing documents.</w:t>
      </w:r>
    </w:p>
    <w:p>
      <w:pPr>
        <w:pStyle w:val="ListBullet"/>
      </w:pPr>
      <w:r>
        <w:t>The selected treated wood and its fasteners are identified; any required cut-end treatment is completed before this operation.</w:t>
      </w:r>
    </w:p>
    <w:p>
      <w:pPr>
        <w:pStyle w:val="ListBullet"/>
      </w:pPr>
      <w:r>
        <w:t>No drilling, anchor alteration, preservative spraying, wall raising or work beside an unprotected excavation is included.</w:t>
      </w:r>
    </w:p>
    <w:p>
      <w:pPr>
        <w:pStyle w:val="Heading2"/>
      </w:pPr>
      <w:r>
        <w:t>Questions before work</w:t>
      </w:r>
    </w:p>
    <w:p>
      <w:pPr>
        <w:pStyle w:val="ListBullet"/>
      </w:pPr>
      <w:r>
        <w:t>Who confirms foundation and anchor readiness before the plates arrive?</w:t>
      </w:r>
    </w:p>
    <w:p>
      <w:pPr>
        <w:pStyle w:val="ListBullet"/>
      </w:pPr>
      <w:r>
        <w:t>Which treatment identification and hardware compatibility apply to these plates?</w:t>
      </w:r>
    </w:p>
    <w:p>
      <w:pPr>
        <w:pStyle w:val="ListBullet"/>
      </w:pPr>
      <w:r>
        <w:t>How will workers lower the plate over rods without hands beneath the bearing face?</w:t>
      </w:r>
    </w:p>
    <w:p>
      <w:r>
        <w:br w:type="page"/>
      </w:r>
    </w:p>
    <w:p>
      <w:pPr>
        <w:pStyle w:val="Heading1"/>
      </w:pPr>
      <w:r>
        <w:t>Task Hazard Control</w:t>
      </w:r>
    </w:p>
    <w:p>
      <w:pPr>
        <w:pStyle w:val="Heading2"/>
      </w:pPr>
      <w:r>
        <w:t>1 Release the bearing line</w:t>
      </w:r>
    </w:p>
    <w:p>
      <w:r>
        <w:rPr>
          <w:b/>
        </w:rPr>
        <w:t xml:space="preserve">Hazard: </w:t>
      </w:r>
      <w:r>
        <w:t>An unready foundation, exposed rods or an unsafe edge can injure the crew or undermine later framing.</w:t>
      </w:r>
    </w:p>
    <w:p>
      <w:r>
        <w:rPr>
          <w:b/>
        </w:rPr>
        <w:t xml:space="preserve">Control: </w:t>
      </w:r>
      <w:r>
        <w:t>Framing lead confirms foundation handover, the permitted work route, bearing surfaces and the anchor layout. Protect hazardous projections by a suitable method and maintain opening and edge protection; hold work for unresolved concrete or anchor conditions.</w:t>
      </w:r>
    </w:p>
    <w:p>
      <w:r>
        <w:rPr>
          <w:b/>
        </w:rPr>
        <w:t xml:space="preserve">Verification: </w:t>
      </w:r>
      <w:r>
        <w:t>Lead compares the actual bearing line and access with released project records.</w:t>
      </w:r>
    </w:p>
    <w:p>
      <w:r>
        <w:rPr>
          <w:b/>
        </w:rPr>
        <w:t xml:space="preserve">Reasoning: </w:t>
      </w:r>
      <w:r>
        <w:t>A visible anchor row is not a foundation readiness record.</w:t>
      </w:r>
    </w:p>
    <w:p>
      <w:pPr>
        <w:pStyle w:val="Heading2"/>
      </w:pPr>
      <w:r>
        <w:t>2 Identify and stage plates</w:t>
      </w:r>
    </w:p>
    <w:p>
      <w:r>
        <w:rPr>
          <w:b/>
        </w:rPr>
        <w:t xml:space="preserve">Hazard: </w:t>
      </w:r>
      <w:r>
        <w:t>The wrong treated product or an unstable lumber stack can create exposure and installation defects.</w:t>
      </w:r>
    </w:p>
    <w:p>
      <w:r>
        <w:rPr>
          <w:b/>
        </w:rPr>
        <w:t xml:space="preserve">Control: </w:t>
      </w:r>
      <w:r>
        <w:t>Check plate identification, treatment information and the prepared hole pattern. Stage supported stacks within the released loading area; use a cart or planned assistance for long members and keep passageways open. Read the handling information before selecting gloves.</w:t>
      </w:r>
    </w:p>
    <w:p>
      <w:r>
        <w:rPr>
          <w:b/>
        </w:rPr>
        <w:t xml:space="preserve">Verification: </w:t>
      </w:r>
      <w:r>
        <w:t>Material lead checks plate tags, condition and the receiving arrangement.</w:t>
      </w:r>
    </w:p>
    <w:p>
      <w:r>
        <w:rPr>
          <w:b/>
        </w:rPr>
        <w:t xml:space="preserve">Reasoning: </w:t>
      </w:r>
      <w:r>
        <w:t>Treated products and compatible hardware must match the specified exposure.</w:t>
      </w:r>
    </w:p>
    <w:p>
      <w:pPr>
        <w:pStyle w:val="Heading2"/>
      </w:pPr>
      <w:r>
        <w:t>3 Prepare the gasket and hardware</w:t>
      </w:r>
    </w:p>
    <w:p>
      <w:r>
        <w:rPr>
          <w:b/>
        </w:rPr>
        <w:t xml:space="preserve">Hazard: </w:t>
      </w:r>
      <w:r>
        <w:t>Sharp hardware, protrusions or incompatible fasteners can injure hands or compromise the connection.</w:t>
      </w:r>
    </w:p>
    <w:p>
      <w:r>
        <w:rPr>
          <w:b/>
        </w:rPr>
        <w:t xml:space="preserve">Control: </w:t>
      </w:r>
      <w:r>
        <w:t>Place the specified gasket using safe reach from the protected side. Stage the drawing-specified nuts and bearing plates or washers and verify their compatibility with the actual preservative. Keep loose hardware contained; do not use improvised shims or alter rods.</w:t>
      </w:r>
    </w:p>
    <w:p>
      <w:r>
        <w:rPr>
          <w:b/>
        </w:rPr>
        <w:t xml:space="preserve">Verification: </w:t>
      </w:r>
      <w:r>
        <w:t>Framing lead checks gasket continuity and identified hardware before plate placement.</w:t>
      </w:r>
    </w:p>
    <w:p>
      <w:r>
        <w:rPr>
          <w:b/>
        </w:rPr>
        <w:t xml:space="preserve">Reasoning: </w:t>
      </w:r>
      <w:r>
        <w:t>The sill interface combines moisture separation and structural attachment.</w:t>
      </w:r>
    </w:p>
    <w:p>
      <w:r>
        <w:br w:type="page"/>
      </w:r>
    </w:p>
    <w:p>
      <w:pPr>
        <w:pStyle w:val="Heading1"/>
      </w:pPr>
      <w:r>
        <w:t>Complete the work and hand over</w:t>
      </w:r>
    </w:p>
    <w:p>
      <w:pPr>
        <w:pStyle w:val="Heading2"/>
      </w:pPr>
      <w:r>
        <w:t>4 Lower the plate over rods</w:t>
      </w:r>
    </w:p>
    <w:p>
      <w:r>
        <w:rPr>
          <w:b/>
        </w:rPr>
        <w:t xml:space="preserve">Hazard: </w:t>
      </w:r>
      <w:r>
        <w:t>A long plate can pinch fingers, roll off the foundation or throw a helper off balance.</w:t>
      </w:r>
    </w:p>
    <w:p>
      <w:r>
        <w:rPr>
          <w:b/>
        </w:rPr>
        <w:t xml:space="preserve">Control: </w:t>
      </w:r>
      <w:r>
        <w:t>Agree the team lift and lowering signal, or use the selected handling aid. Align prepared holes from stable positions and lower without fingers beneath the plate or around entering rods. Stop for a mismatch rather than forcing or enlarging a hole.</w:t>
      </w:r>
    </w:p>
    <w:p>
      <w:r>
        <w:rPr>
          <w:b/>
        </w:rPr>
        <w:t xml:space="preserve">Verification: </w:t>
      </w:r>
      <w:r>
        <w:t>Placement lead confirms clear hands and stable footing before lowering.</w:t>
      </w:r>
    </w:p>
    <w:p>
      <w:r>
        <w:rPr>
          <w:b/>
        </w:rPr>
        <w:t xml:space="preserve">Reasoning: </w:t>
      </w:r>
      <w:r>
        <w:t>Alignment problems should not become improvised drilling or prying tasks.</w:t>
      </w:r>
    </w:p>
    <w:p>
      <w:pPr>
        <w:pStyle w:val="Heading2"/>
      </w:pPr>
      <w:r>
        <w:t>5 Complete the specified attachment</w:t>
      </w:r>
    </w:p>
    <w:p>
      <w:r>
        <w:rPr>
          <w:b/>
        </w:rPr>
        <w:t xml:space="preserve">Hazard: </w:t>
      </w:r>
      <w:r>
        <w:t>A tool can slip; overtightening or missing hardware can damage wood or leave inadequate restraint.</w:t>
      </w:r>
    </w:p>
    <w:p>
      <w:r>
        <w:rPr>
          <w:b/>
        </w:rPr>
        <w:t xml:space="preserve">Control: </w:t>
      </w:r>
      <w:r>
        <w:t>Use suitable inspected tools from the protected position and install the specified hardware in the released sequence. Follow the actual connection criteria; do not invent a universal torque or use tightening to pull an unsupported plate into contact.</w:t>
      </w:r>
    </w:p>
    <w:p>
      <w:r>
        <w:rPr>
          <w:b/>
        </w:rPr>
        <w:t xml:space="preserve">Verification: </w:t>
      </w:r>
      <w:r>
        <w:t>Framing lead checks hardware, bearing and attachment against current details.</w:t>
      </w:r>
    </w:p>
    <w:p>
      <w:r>
        <w:rPr>
          <w:b/>
        </w:rPr>
        <w:t xml:space="preserve">Reasoning: </w:t>
      </w:r>
      <w:r>
        <w:t>Tight appearance does not establish the required bearing or fastening.</w:t>
      </w:r>
    </w:p>
    <w:p>
      <w:pPr>
        <w:pStyle w:val="Heading2"/>
      </w:pPr>
      <w:r>
        <w:t>6 Hand over for wall framing</w:t>
      </w:r>
    </w:p>
    <w:p>
      <w:r>
        <w:rPr>
          <w:b/>
        </w:rPr>
        <w:t xml:space="preserve">Hazard: </w:t>
      </w:r>
      <w:r>
        <w:t>Loose packaging, unfinished anchors or obscured defects can expose the next crew.</w:t>
      </w:r>
    </w:p>
    <w:p>
      <w:r>
        <w:rPr>
          <w:b/>
        </w:rPr>
        <w:t xml:space="preserve">Control: </w:t>
      </w:r>
      <w:r>
        <w:t>Collect waste without burning treated wood and leave access clear. Mark unresolved anchors or bearing areas, protect remaining projections and transfer the attachment status before wall assembly or raising starts.</w:t>
      </w:r>
    </w:p>
    <w:p>
      <w:r>
        <w:rPr>
          <w:b/>
        </w:rPr>
        <w:t xml:space="preserve">Verification: </w:t>
      </w:r>
      <w:r>
        <w:t>Receiving framing lead confirms the sill release and any remaining restrictions.</w:t>
      </w:r>
    </w:p>
    <w:p>
      <w:r>
        <w:rPr>
          <w:b/>
        </w:rPr>
        <w:t xml:space="preserve">Reasoning: </w:t>
      </w:r>
      <w:r>
        <w:t>Wall raising begins only after this separate foundation-to-wood interface is released.</w:t>
      </w:r>
    </w:p>
    <w:p>
      <w:pPr>
        <w:pStyle w:val="Heading2"/>
      </w:pPr>
      <w:r>
        <w:t>Pause and reassess</w:t>
      </w:r>
    </w:p>
    <w:p>
      <w:pPr>
        <w:pStyle w:val="ListBullet"/>
      </w:pPr>
      <w:r>
        <w:t>Anchor locations, holes or bearing surfaces do not match released details.</w:t>
      </w:r>
    </w:p>
    <w:p>
      <w:pPr>
        <w:pStyle w:val="ListBullet"/>
      </w:pPr>
      <w:r>
        <w:t>Plate treatment or hardware compatibility cannot be identified.</w:t>
      </w:r>
    </w:p>
    <w:p>
      <w:pPr>
        <w:pStyle w:val="ListBullet"/>
      </w:pPr>
      <w:r>
        <w:t>Access protection, safe handling or the foundation release changes.</w:t>
      </w:r>
    </w:p>
    <w:p>
      <w:r>
        <w:br w:type="page"/>
      </w:r>
    </w:p>
    <w:p>
      <w:pPr>
        <w:pStyle w:val="Heading1"/>
      </w:pPr>
      <w:r>
        <w:t>Improve the controls</w:t>
      </w:r>
    </w:p>
    <w:p>
      <w:r>
        <w:rPr>
          <w:b/>
        </w:rPr>
        <w:t xml:space="preserve">Needs improvement: </w:t>
      </w:r>
      <w:r>
        <w:t>Work carefully and wear PPE.</w:t>
      </w:r>
    </w:p>
    <w:p>
      <w:r>
        <w:rPr>
          <w:b/>
        </w:rPr>
        <w:t xml:space="preserve">More useful: </w:t>
      </w:r>
      <w:r>
        <w:t>Place the specified gasket using safe reach from the protected side. Stage the drawing-specified nuts and bearing plates or washers and verify their compatibility with the actual preservative. Keep loose hardware contained; do not use improvised shims or alter rods.</w:t>
      </w:r>
    </w:p>
    <w:p>
      <w:r>
        <w:rPr>
          <w:b/>
        </w:rPr>
        <w:t xml:space="preserve">Needs improvement: </w:t>
      </w:r>
      <w:r>
        <w:t>Check that everything is ready.</w:t>
      </w:r>
    </w:p>
    <w:p>
      <w:r>
        <w:rPr>
          <w:b/>
        </w:rPr>
        <w:t xml:space="preserve">More useful: </w:t>
      </w:r>
      <w:r>
        <w:t>Framing lead confirms foundation handover, the permitted work route, bearing surfaces and the anchor layout. Protect hazardous projections by a suitable method and maintain opening and edge protection; hold work for unresolved concrete or anchor conditions.</w:t>
      </w:r>
    </w:p>
    <w:p>
      <w:pPr>
        <w:pStyle w:val="Heading2"/>
      </w:pPr>
      <w:r>
        <w:t>Decisions that change the analysis</w:t>
      </w:r>
    </w:p>
    <w:p>
      <w:r>
        <w:rPr>
          <w:b/>
        </w:rPr>
        <w:t>May a misplaced anchor be bent or a sill hole enlarged to keep framing moving?</w:t>
      </w:r>
    </w:p>
    <w:p>
      <w:r>
        <w:t>Pause and obtain the project’s technical disposition. This example uses prepared plates and released existing rods; drilling, slotting or altering an anchor changes its scope and the connection basis.</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Task instruction on prepared sill handling, safe alignment and the actual attachment sequence.</w:t>
      </w:r>
    </w:p>
    <w:p>
      <w:pPr>
        <w:pStyle w:val="ListBullet"/>
      </w:pPr>
      <w:r>
        <w:t>Hazard communication and treated-wood handling information, with hardware compatibility and waste arrangements.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AWPA Information for builders: treated wood and compatible fasteners</w:t>
        <w:br/>
        <w:t>https://awpa.com/info/technical/builders</w:t>
      </w:r>
    </w:p>
    <w:p>
      <w:r>
        <w:rPr>
          <w:sz w:val="18"/>
        </w:rPr>
        <w:t>Simpson Strong-Tie Product installer guide</w:t>
        <w:br/>
        <w:t>https://www.strongtie.com/resources/product-installers-guide/landing</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Sill Plate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