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Wall Mirror Installation JHA</w:t>
      </w:r>
    </w:p>
    <w:p>
      <w:pPr>
        <w:pStyle w:val="Subtitle"/>
      </w:pPr>
      <w:r>
        <w:t>Worked instructional example</w:t>
      </w:r>
    </w:p>
    <w:p>
      <w:pPr>
        <w:pStyle w:val="Heading1"/>
      </w:pPr>
      <w:r>
        <w:t>Work and worksite</w:t>
      </w:r>
    </w:p>
    <w:p>
      <w:r>
        <w:t>A glazing crew will install a factory-cut vertical interior mirror on a released wall with the specified mechanical supports and compatible mirror adhesive. The wall area remains closed to occupants until the required support, bonding and handover conditions are satisfied. This fictional learning example describes planned controls; it records no actual inspection or work authorization.</w:t>
      </w:r>
    </w:p>
    <w:p>
      <w:pPr>
        <w:pStyle w:val="ListBullet"/>
      </w:pPr>
      <w:r>
        <w:t>The approved assembly identifies mirror backing, wall finish, supports, retainers and adhesive compatibility.</w:t>
      </w:r>
    </w:p>
    <w:p>
      <w:pPr>
        <w:pStyle w:val="ListBullet"/>
      </w:pPr>
      <w:r>
        <w:t>Mechanical support remains during and after installation as required by the selected assembly and adhesive instructions.</w:t>
      </w:r>
    </w:p>
    <w:p>
      <w:pPr>
        <w:pStyle w:val="ListBullet"/>
      </w:pPr>
      <w:r>
        <w:t>Field cutting, overhead mirrors, unknown wall coatings and improvised adhesive-only retention are excluded.</w:t>
      </w:r>
    </w:p>
    <w:p>
      <w:pPr>
        <w:pStyle w:val="Heading2"/>
      </w:pPr>
      <w:r>
        <w:t>Questions before work</w:t>
      </w:r>
    </w:p>
    <w:p>
      <w:pPr>
        <w:pStyle w:val="ListBullet"/>
      </w:pPr>
      <w:r>
        <w:t>Do the mirror backing and actual wall finish suit the selected adhesive?</w:t>
      </w:r>
    </w:p>
    <w:p>
      <w:pPr>
        <w:pStyle w:val="ListBullet"/>
      </w:pPr>
      <w:r>
        <w:t>Which permanent mechanical supports and temporary handling supports carry the mirror?</w:t>
      </w:r>
    </w:p>
    <w:p>
      <w:pPr>
        <w:pStyle w:val="ListBullet"/>
      </w:pPr>
      <w:r>
        <w:t>What evidence and cure conditions permit the installation to be handed over?</w:t>
      </w:r>
    </w:p>
    <w:p>
      <w:r>
        <w:br w:type="page"/>
      </w:r>
    </w:p>
    <w:p>
      <w:pPr>
        <w:pStyle w:val="Heading1"/>
      </w:pPr>
      <w:r>
        <w:t>Task Hazard Control</w:t>
      </w:r>
    </w:p>
    <w:p>
      <w:pPr>
        <w:pStyle w:val="Heading2"/>
      </w:pPr>
      <w:r>
        <w:t>1 Release the wall and support arrangement</w:t>
      </w:r>
    </w:p>
    <w:p>
      <w:r>
        <w:rPr>
          <w:b/>
        </w:rPr>
        <w:t xml:space="preserve">Hazard: </w:t>
      </w:r>
      <w:r>
        <w:t>Weak wall fixing or incompatible adhesive can allow the mirror to detach.</w:t>
      </w:r>
    </w:p>
    <w:p>
      <w:r>
        <w:rPr>
          <w:b/>
        </w:rPr>
        <w:t xml:space="preserve">Control: </w:t>
      </w:r>
      <w:r>
        <w:t>Glazing lead verifies substrate condition, approved mechanical support and mirror/adhesive compatibility. Obtain required surface tests and installation criteria from the actual product documents; hold for unknown backing or wall finishes.</w:t>
      </w:r>
    </w:p>
    <w:p>
      <w:r>
        <w:rPr>
          <w:b/>
        </w:rPr>
        <w:t xml:space="preserve">Verification: </w:t>
      </w:r>
      <w:r>
        <w:t>Lead compares actual materials and fixing locations with the approved assembly.</w:t>
      </w:r>
    </w:p>
    <w:p>
      <w:r>
        <w:rPr>
          <w:b/>
        </w:rPr>
        <w:t xml:space="preserve">Reasoning: </w:t>
      </w:r>
      <w:r>
        <w:t>Mirror backing and wall chemistry affect a concealed bond.</w:t>
      </w:r>
    </w:p>
    <w:p>
      <w:pPr>
        <w:pStyle w:val="Heading2"/>
      </w:pPr>
      <w:r>
        <w:t>2 Inspect and stage the mirror</w:t>
      </w:r>
    </w:p>
    <w:p>
      <w:r>
        <w:rPr>
          <w:b/>
        </w:rPr>
        <w:t xml:space="preserve">Hazard: </w:t>
      </w:r>
      <w:r>
        <w:t>Edge damage or unstable staging can cause glass breakage and cuts.</w:t>
      </w:r>
    </w:p>
    <w:p>
      <w:r>
        <w:rPr>
          <w:b/>
        </w:rPr>
        <w:t xml:space="preserve">Control: </w:t>
      </w:r>
      <w:r>
        <w:t>Check mirror identity, dimensions and edge condition while it remains on protected stable supports. Confirm the handling method and exposed-edge protection; segregate damaged pieces and keep the full transfer route clear.</w:t>
      </w:r>
    </w:p>
    <w:p>
      <w:r>
        <w:rPr>
          <w:b/>
        </w:rPr>
        <w:t xml:space="preserve">Verification: </w:t>
      </w:r>
      <w:r>
        <w:t>Handling lead inspects the mirror and staging before pickup.</w:t>
      </w:r>
    </w:p>
    <w:p>
      <w:r>
        <w:rPr>
          <w:b/>
        </w:rPr>
        <w:t xml:space="preserve">Reasoning: </w:t>
      </w:r>
      <w:r>
        <w:t>The reflective surface does not show every vulnerable backing or edge condition.</w:t>
      </w:r>
    </w:p>
    <w:p>
      <w:pPr>
        <w:pStyle w:val="Heading2"/>
      </w:pPr>
      <w:r>
        <w:t>3 Install supports and prepare surfaces</w:t>
      </w:r>
    </w:p>
    <w:p>
      <w:r>
        <w:rPr>
          <w:b/>
        </w:rPr>
        <w:t xml:space="preserve">Hazard: </w:t>
      </w:r>
      <w:r>
        <w:t>Drilling can strike concealed services; cleaners can expose workers or damage finishes.</w:t>
      </w:r>
    </w:p>
    <w:p>
      <w:r>
        <w:rPr>
          <w:b/>
        </w:rPr>
        <w:t xml:space="preserve">Control: </w:t>
      </w:r>
      <w:r>
        <w:t>Fix the specified supports at released locations with required dust controls. Use only the compatible preparation method, with product labels, ventilation and assessed skin/eye protection; keep cleaners away from incompatible mirror backing.</w:t>
      </w:r>
    </w:p>
    <w:p>
      <w:r>
        <w:rPr>
          <w:b/>
        </w:rPr>
        <w:t xml:space="preserve">Verification: </w:t>
      </w:r>
      <w:r>
        <w:t>Installer records support checks and verifies the selected preparation materials.</w:t>
      </w:r>
    </w:p>
    <w:p>
      <w:r>
        <w:rPr>
          <w:b/>
        </w:rPr>
        <w:t xml:space="preserve">Reasoning: </w:t>
      </w:r>
      <w:r>
        <w:t>Surface preparation and mechanical support are separate readiness checks.</w:t>
      </w:r>
    </w:p>
    <w:p>
      <w:r>
        <w:br w:type="page"/>
      </w:r>
    </w:p>
    <w:p>
      <w:pPr>
        <w:pStyle w:val="Heading1"/>
      </w:pPr>
      <w:r>
        <w:t>Complete the work and hand over</w:t>
      </w:r>
    </w:p>
    <w:p>
      <w:pPr>
        <w:pStyle w:val="Heading2"/>
      </w:pPr>
      <w:r>
        <w:t>4 Apply adhesive and position the mirror</w:t>
      </w:r>
    </w:p>
    <w:p>
      <w:r>
        <w:rPr>
          <w:b/>
        </w:rPr>
        <w:t xml:space="preserve">Hazard: </w:t>
      </w:r>
      <w:r>
        <w:t>Slipping glass or a misapplied bond can expose the setting crew and later occupants.</w:t>
      </w:r>
    </w:p>
    <w:p>
      <w:r>
        <w:rPr>
          <w:b/>
        </w:rPr>
        <w:t xml:space="preserve">Control: </w:t>
      </w:r>
      <w:r>
        <w:t>Apply the actual product pattern within its permitted working conditions and position with planned handling support. Seat on the specified mechanical supports and install retainers; keep hands outside closing gaps and do not substitute a general construction adhesive.</w:t>
      </w:r>
    </w:p>
    <w:p>
      <w:r>
        <w:rPr>
          <w:b/>
        </w:rPr>
        <w:t xml:space="preserve">Verification: </w:t>
      </w:r>
      <w:r>
        <w:t>Glazing lead checks product identity, seating and retention before handling support changes.</w:t>
      </w:r>
    </w:p>
    <w:p>
      <w:r>
        <w:rPr>
          <w:b/>
        </w:rPr>
        <w:t xml:space="preserve">Reasoning: </w:t>
      </w:r>
      <w:r>
        <w:t>Initial tack does not replace the defined support arrangement.</w:t>
      </w:r>
    </w:p>
    <w:p>
      <w:pPr>
        <w:pStyle w:val="Heading2"/>
      </w:pPr>
      <w:r>
        <w:t>5 Protect the bonding period</w:t>
      </w:r>
    </w:p>
    <w:p>
      <w:r>
        <w:rPr>
          <w:b/>
        </w:rPr>
        <w:t xml:space="preserve">Hazard: </w:t>
      </w:r>
      <w:r>
        <w:t>Early disturbance or changed curing conditions can compromise the bond.</w:t>
      </w:r>
    </w:p>
    <w:p>
      <w:r>
        <w:rPr>
          <w:b/>
        </w:rPr>
        <w:t xml:space="preserve">Control: </w:t>
      </w:r>
      <w:r>
        <w:t>Maintain the product-required support, access restrictions and curing environment. Record installation conditions and obtain the designated cure/acceptance determination; do not infer release from a dry surface or another product’s cure time.</w:t>
      </w:r>
    </w:p>
    <w:p>
      <w:r>
        <w:rPr>
          <w:b/>
        </w:rPr>
        <w:t xml:space="preserve">Verification: </w:t>
      </w:r>
      <w:r>
        <w:t>Assigned lead reviews actual conditions and unresolved bonding findings.</w:t>
      </w:r>
    </w:p>
    <w:p>
      <w:r>
        <w:rPr>
          <w:b/>
        </w:rPr>
        <w:t xml:space="preserve">Reasoning: </w:t>
      </w:r>
      <w:r>
        <w:t>Surface skinning and completed bond performance are different observations.</w:t>
      </w:r>
    </w:p>
    <w:p>
      <w:pPr>
        <w:pStyle w:val="Heading2"/>
      </w:pPr>
      <w:r>
        <w:t>6 Hand over the finished wall</w:t>
      </w:r>
    </w:p>
    <w:p>
      <w:r>
        <w:rPr>
          <w:b/>
        </w:rPr>
        <w:t xml:space="preserve">Hazard: </w:t>
      </w:r>
      <w:r>
        <w:t>Removed retainers or hidden unfinished work can expose occupants after installation.</w:t>
      </w:r>
    </w:p>
    <w:p>
      <w:r>
        <w:rPr>
          <w:b/>
        </w:rPr>
        <w:t xml:space="preserve">Control: </w:t>
      </w:r>
      <w:r>
        <w:t>Complete the designated support and finish inspection, remove sharp waste and communicate any continuing restrictions. Transfer support/adhesive information to the building contact and retain permanent mechanical support required by the assembly.</w:t>
      </w:r>
    </w:p>
    <w:p>
      <w:r>
        <w:rPr>
          <w:b/>
        </w:rPr>
        <w:t xml:space="preserve">Verification: </w:t>
      </w:r>
      <w:r>
        <w:t>Receiving contact confirms acceptance status and maintenance information.</w:t>
      </w:r>
    </w:p>
    <w:p>
      <w:r>
        <w:rPr>
          <w:b/>
        </w:rPr>
        <w:t xml:space="preserve">Reasoning: </w:t>
      </w:r>
      <w:r>
        <w:t>Curing does not authorize removal of permanent mechanical support.</w:t>
      </w:r>
    </w:p>
    <w:p>
      <w:pPr>
        <w:pStyle w:val="Heading2"/>
      </w:pPr>
      <w:r>
        <w:t>Pause and reassess</w:t>
      </w:r>
    </w:p>
    <w:p>
      <w:pPr>
        <w:pStyle w:val="ListBullet"/>
      </w:pPr>
      <w:r>
        <w:t>Unknown backing, wall finish or missing compatibility evidence.</w:t>
      </w:r>
    </w:p>
    <w:p>
      <w:pPr>
        <w:pStyle w:val="ListBullet"/>
      </w:pPr>
      <w:r>
        <w:t>Mirror damage, support movement or unsuitable preparation conditions.</w:t>
      </w:r>
    </w:p>
    <w:p>
      <w:pPr>
        <w:pStyle w:val="ListBullet"/>
      </w:pPr>
      <w:r>
        <w:t>Curing conditions, occupant access or retention requirements change.</w:t>
      </w:r>
    </w:p>
    <w:p>
      <w:r>
        <w:br w:type="page"/>
      </w:r>
    </w:p>
    <w:p>
      <w:pPr>
        <w:pStyle w:val="Heading1"/>
      </w:pPr>
      <w:r>
        <w:t>Improve the controls</w:t>
      </w:r>
    </w:p>
    <w:p>
      <w:r>
        <w:rPr>
          <w:b/>
        </w:rPr>
        <w:t xml:space="preserve">Needs improvement: </w:t>
      </w:r>
      <w:r>
        <w:t>Work carefully and wear PPE.</w:t>
      </w:r>
    </w:p>
    <w:p>
      <w:r>
        <w:rPr>
          <w:b/>
        </w:rPr>
        <w:t xml:space="preserve">More useful: </w:t>
      </w:r>
      <w:r>
        <w:t>Fix the specified supports at released locations with required dust controls. Use only the compatible preparation method, with product labels, ventilation and assessed skin/eye protection; keep cleaners away from incompatible mirror backing.</w:t>
      </w:r>
    </w:p>
    <w:p>
      <w:r>
        <w:rPr>
          <w:b/>
        </w:rPr>
        <w:t xml:space="preserve">Needs improvement: </w:t>
      </w:r>
      <w:r>
        <w:t>Check that everything is ready.</w:t>
      </w:r>
    </w:p>
    <w:p>
      <w:r>
        <w:rPr>
          <w:b/>
        </w:rPr>
        <w:t xml:space="preserve">More useful: </w:t>
      </w:r>
      <w:r>
        <w:t>Glazing lead verifies substrate condition, approved mechanical support and mirror/adhesive compatibility. Obtain required surface tests and installation criteria from the actual product documents; hold for unknown backing or wall finishes.</w:t>
      </w:r>
    </w:p>
    <w:p>
      <w:pPr>
        <w:pStyle w:val="Heading2"/>
      </w:pPr>
      <w:r>
        <w:t>Decisions that change the analysis</w:t>
      </w:r>
    </w:p>
    <w:p>
      <w:r>
        <w:rPr>
          <w:b/>
        </w:rPr>
        <w:t>May the supports be removed when the adhesive feels firm?</w:t>
      </w:r>
    </w:p>
    <w:p>
      <w:r>
        <w:t>Only temporary supports may be removed under the actual assembly’s release criteria. Keep permanent supports and retainers in place. The referenced mirror adhesive specifically requires mechanical support during and after installation; apparent surface firmness is not a release.</w:t>
      </w:r>
    </w:p>
    <w:p>
      <w:r>
        <w:rPr>
          <w:b/>
        </w:rPr>
        <w:t>What must the crew record for actual use?</w:t>
      </w:r>
    </w:p>
    <w:p>
      <w:r>
        <w:t>Identify the actual equipment and work boundaries, responsible people, applicable criteria, inspection findings and open actions. Resolve changes with affected crews and obtain required project authorization before work.</w:t>
      </w:r>
    </w:p>
    <w:p>
      <w:pPr>
        <w:pStyle w:val="Heading2"/>
      </w:pPr>
      <w:r>
        <w:t>Training needs</w:t>
      </w:r>
    </w:p>
    <w:p>
      <w:pPr>
        <w:pStyle w:val="ListBullet"/>
      </w:pPr>
      <w:r>
        <w:t>Mirror backing and adhesive compatibility, mechanical retention and actual product acceptance instruction.</w:t>
      </w:r>
    </w:p>
    <w:p>
      <w:pPr>
        <w:pStyle w:val="ListBullet"/>
      </w:pPr>
      <w:r>
        <w:t>Glass handling and chemical preparation instruction with applicable hazard communication.</w:t>
      </w:r>
    </w:p>
    <w:p>
      <w:r>
        <w:t>Confirm applicable qualifications and actual training evidence for the people assigned. Related toolbox talks support discussion; they do not establish competence.</w:t>
      </w:r>
    </w:p>
    <w:p>
      <w:pPr>
        <w:pStyle w:val="Heading2"/>
      </w:pPr>
      <w:r>
        <w:t>References and adaptation</w:t>
      </w:r>
    </w:p>
    <w:p>
      <w:r>
        <w:rPr>
          <w:sz w:val="18"/>
        </w:rPr>
        <w:t>Sika Mirror adhesive product data and support requirements</w:t>
        <w:br/>
        <w:t>https://usa.sika.com/content/dam/dms/us01/9/ipd-pds-sikaflex%20124-us.pdf</w:t>
      </w:r>
    </w:p>
    <w:p>
      <w:r>
        <w:rPr>
          <w:sz w:val="18"/>
        </w:rPr>
        <w:t>OSHA 1910.1200 Hazard communication</w:t>
        <w:br/>
        <w:t>https://www.osha.gov/laws-regs/regulations/standardnumber/1910/1910.1200</w:t>
      </w:r>
    </w:p>
    <w:p>
      <w:r>
        <w:rPr>
          <w:sz w:val="18"/>
        </w:rPr>
        <w:t>OSHA 1926.21 Safety training and education</w:t>
        <w:br/>
        <w:t>https://www.osha.gov/laws-regs/regulations/standardnumber/1926/1926.21</w:t>
      </w:r>
    </w:p>
    <w:p>
      <w:r>
        <w:t>References reviewed October 9, 2026. Use actual equipment and product instructions, project design and site requirements. This instructional example supplies no actual inspection results, signatures or work approval.</w:t>
      </w:r>
    </w:p>
    <w:sectPr w:rsidR="00FC693F" w:rsidRPr="0006063C" w:rsidSect="00034616">
      <w:headerReference w:type="default" r:id="rId9"/>
      <w:footerReference w:type="default" r:id="rId10"/>
      <w:pgSz w:w="12240" w:h="15840"/>
      <w:pgMar w:top="936" w:right="1008" w:bottom="936" w:left="1008" w:header="360"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6"/>
      </w:rPr>
      <w:t xml:space="preserve">v1.0  |  October 9, 2026  |  toddjeromejenkins.com  |  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Caption"/>
    </w:pPr>
    <w:r>
      <w:t>TODD JEROME JENKINS  |  JHA / JSA WORKED EXAMPLE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45"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40" w:after="80"/>
      <w:outlineLvl w:val="0"/>
    </w:pPr>
    <w:rPr>
      <w:rFonts w:asciiTheme="majorHAnsi" w:eastAsiaTheme="majorEastAsia" w:hAnsiTheme="majorHAnsi" w:cstheme="majorBidi" w:ascii="Calibri" w:hAnsi="Calibri"/>
      <w:b/>
      <w:bCs/>
      <w:color w:val="000000"/>
      <w:sz w:val="34"/>
      <w:szCs w:val="28"/>
    </w:rPr>
  </w:style>
  <w:style w:type="paragraph" w:styleId="Heading2">
    <w:name w:val="heading 2"/>
    <w:basedOn w:val="Normal"/>
    <w:next w:val="Normal"/>
    <w:link w:val="Heading2Char"/>
    <w:uiPriority w:val="9"/>
    <w:unhideWhenUsed/>
    <w:qFormat/>
    <w:rsid w:val="00FC693F"/>
    <w:pPr>
      <w:keepNext/>
      <w:keepLines/>
      <w:spacing w:before="140" w:after="80"/>
      <w:outlineLvl w:val="1"/>
    </w:pPr>
    <w:rPr>
      <w:rFonts w:asciiTheme="majorHAnsi" w:eastAsiaTheme="majorEastAsia" w:hAnsiTheme="majorHAnsi" w:cstheme="majorBidi" w:ascii="Calibri" w:hAnsi="Calibri"/>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140" w:after="80"/>
      <w:outlineLvl w:val="2"/>
    </w:pPr>
    <w:rPr>
      <w:rFonts w:asciiTheme="majorHAnsi" w:eastAsiaTheme="majorEastAsia" w:hAnsiTheme="majorHAnsi" w:cstheme="majorBidi" w:ascii="Calibri" w:hAnsi="Calibri"/>
      <w:b/>
      <w:bCs/>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80" w:line="240" w:lineRule="auto" w:before="140"/>
      <w:contextualSpacing/>
    </w:pPr>
    <w:rPr>
      <w:rFonts w:asciiTheme="majorHAnsi" w:eastAsiaTheme="majorEastAsia" w:hAnsiTheme="majorHAnsi" w:cstheme="majorBidi" w:ascii="Calibri" w:hAnsi="Calibri"/>
      <w:color w:val="000000"/>
      <w:spacing w:val="5"/>
      <w:kern w:val="28"/>
      <w:sz w:val="48"/>
      <w:szCs w:val="52"/>
      <w:u w:val="none"/>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val="0"/>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Wall Mirror Installation JHA Worked Example</dc:title>
  <dc:subject/>
  <dc:creator>Todd Jerome Jenkins</dc:creator>
  <cp:keywords/>
  <dc:description>generated by python-docx</dc:description>
  <cp:lastModifiedBy/>
  <cp:revision>1</cp:revision>
  <dcterms:created xsi:type="dcterms:W3CDTF">2013-12-23T23:15:00Z</dcterms:created>
  <dcterms:modified xsi:type="dcterms:W3CDTF">2013-12-23T23:15:00Z</dcterms:modified>
  <cp:category/>
</cp:coreProperties>
</file>