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10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Hand Tools: Condition, Selection &amp; Line of Fire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</w:trPr>
        <w:tc>
          <w:tcPr>
            <w:tcW w:type="dxa" w:w="87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Tool selection and intended use match the actual task and required force.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Condition inspection covers handles, jaws, striking heads, edges and relevant safety features.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Work is supported using the selected suitable holding arrangement.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Hands, body and other workers are clear of cutting, striking and slip paths.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87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  <w:t>PPE, transport/storage and defect-removal arrangements are confirmed.</w:t>
            </w:r>
          </w:p>
        </w:tc>
        <w:tc>
          <w:tcPr>
            <w:tcW w:type="dxa" w:w="158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 Tools: Condition, Selection &amp; Line of Fire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