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106  •  CREW DISCUSSION</w:t>
      </w:r>
    </w:p>
    <w:p>
      <w:pPr>
        <w:pStyle w:val="Title"/>
      </w:pPr>
      <w:r>
        <w:t>Masonry Grouting: Verify the Wall and Delivery System</w:t>
      </w:r>
    </w:p>
    <w:p>
      <w:pPr>
        <w:pStyle w:val="Support"/>
      </w:pPr>
      <w:r>
        <w:t>Todd Jerome Jenkins  |  v1.0  |  Reviewed October 9, 2026  |  Discussion + field checks</w:t>
      </w:r>
    </w:p>
    <w:p>
      <w:pPr>
        <w:pStyle w:val="Heading1"/>
      </w:pPr>
      <w:r>
        <w:t>Why this matters</w:t>
      </w:r>
    </w:p>
    <w:p>
      <w:r>
        <w:t>Grouting adds load to an unfinished wall while the delivery system may contain pressure. The wall release and pump readiness are separate decisions; both must be settled before flow.</w:t>
      </w:r>
    </w:p>
    <w:p>
      <w:r>
        <w:t>Objective: Confirm the approved placement sequence, protected positions and stop arrangements.</w:t>
      </w:r>
    </w:p>
    <w:p>
      <w:pPr>
        <w:pStyle w:val="Heading1"/>
      </w:pPr>
      <w:r>
        <w:t>Key hazards or failure points</w:t>
      </w:r>
    </w:p>
    <w:p>
      <w:r>
        <w:t>Wall or cleanout failure; hose movement; trapped pressure; unsuitable connections; cement splash; unstable access.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The masonry lead confirms the wall, cells, cleanouts, support and placement sequence are ready under the project requirements. Do not infer allowable grout placement from the pump’s capacity.</w:t>
      </w:r>
    </w:p>
    <w:p>
      <w:pPr>
        <w:pStyle w:val="ListBullet"/>
      </w:pPr>
      <w:r>
        <w:t>Use the actual grout pump, hose and component instructions. Trained personnel check compatibility, condition, guards and required restraints. Route the hose without disturbing wall braces or blocking access.</w:t>
      </w:r>
    </w:p>
    <w:p>
      <w:pPr>
        <w:pStyle w:val="ListBullet"/>
      </w:pPr>
      <w:r>
        <w:t>Agree start, stop and restart communication between the operator and placement lead. Maintain wall boundaries and protected receiving access. Keep suitable cement-contact protection and washing facilities ready.</w:t>
      </w:r>
    </w:p>
    <w:p>
      <w:pPr>
        <w:pStyle w:val="Heading1"/>
      </w:pPr>
      <w:r>
        <w:t>Verify It in the Field</w:t>
      </w:r>
    </w:p>
    <w:p>
      <w:r>
        <w:t>Match the wall and intended grout placement to current documents and required inspection releases. Record sequence limits and who may authorize changes; a standing wall is not a readiness test.</w:t>
      </w:r>
    </w:p>
    <w:p>
      <w:r>
        <w:t>Before pressurizing, the assigned operator checks component identification, ratings, connections and setup by the prescribed safe method. Confirm the receiving position and exclusion arrangements from outside danger areas.</w:t>
      </w:r>
    </w:p>
    <w:p>
      <w:r>
        <w:t>Confirm the stop message is understood at the actual positions. Identify the authorized blockage/cleanout personnel and procedure. Record sources, findings, checker and time for both wall and equipment readiness.</w:t>
      </w:r>
    </w:p>
    <w:p>
      <w:pPr>
        <w:pStyle w:val="Heading1"/>
      </w:pPr>
      <w:r>
        <w:t>Stop and reassess</w:t>
      </w:r>
    </w:p>
    <w:p>
      <w:r>
        <w:t>Stop for unexpected wall response, leakage, hose movement, blockage, failed communication or lost access control. Keep clear while authorized personnel establish the safe state. Never loosen a connection to test pressure or increase pressure to force a blockage. Correct, recheck and rebrief before restart.</w:t>
      </w:r>
    </w:p>
    <w:p>
      <w:pPr>
        <w:pStyle w:val="Heading1"/>
      </w:pPr>
      <w:r>
        <w:t>Ask the crew</w:t>
      </w:r>
    </w:p>
    <w:p>
      <w:r>
        <w:t>1. Who released this wall and placement sequence?</w:t>
      </w:r>
    </w:p>
    <w:p>
      <w:r>
        <w:t>2. What evidence covers this hose and connection arrangement?</w:t>
      </w:r>
    </w:p>
    <w:p>
      <w:r>
        <w:t>3. What happens after a blockage or unexpected wall response?</w:t>
      </w:r>
    </w:p>
    <w:p>
      <w:r>
        <w:t>Use the task plan and required specialist decisions before exposure.</w:t>
      </w:r>
    </w:p>
    <w:p>
      <w:pPr>
        <w:pStyle w:val="Support"/>
      </w:pPr>
      <w:r>
        <w:t>Sources: OSHA 1926.706, .702(j); actual masonry and pump instructions.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toddjeromejenkins.com/toolbox-talks/masonry-grouting-wall-pump-readiness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Masonry Grouting: Verify the Wall and Delivery System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