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107  •  CREW DISCUSSION</w:t>
      </w:r>
    </w:p>
    <w:p>
      <w:pPr>
        <w:pStyle w:val="Title"/>
      </w:pPr>
      <w:r>
        <w:t>Mortar Mixers: Check the Guarded Work Cycle</w:t>
      </w:r>
    </w:p>
    <w:p>
      <w:pPr>
        <w:pStyle w:val="Support"/>
      </w:pPr>
      <w:r>
        <w:t>Todd Jerome Jenkins  |  v1.0  |  Reviewed October 9, 2026  |  Discussion + field checks</w:t>
      </w:r>
    </w:p>
    <w:p>
      <w:pPr>
        <w:pStyle w:val="Heading1"/>
      </w:pPr>
      <w:r>
        <w:t>Why this matters</w:t>
      </w:r>
    </w:p>
    <w:p>
      <w:r>
        <w:t>Charging, discharging and cleaning create different mixer hazards. A running motor does not prove that the guard, receiving arrangement or cleanup isolation is ready.</w:t>
      </w:r>
    </w:p>
    <w:p>
      <w:r>
        <w:t>Objective: Verify the guarded loading and discharge arrangement and safe cleanup handoff.</w:t>
      </w:r>
    </w:p>
    <w:p>
      <w:pPr>
        <w:pStyle w:val="Heading1"/>
      </w:pPr>
      <w:r>
        <w:t>Key hazards or failure points</w:t>
      </w:r>
    </w:p>
    <w:p>
      <w:r>
        <w:t>Moving paddles; drive entanglement; tipping-drum pinch points; unexpected restart; dry-mix dust; wet-mortar contact; electrical exposure.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Use the actual mixer instructions and trained operator. Set up stable equipment and receiving containers, protected supply connections and clear access. Keep guards and safety devices installed; never bypass them.</w:t>
      </w:r>
    </w:p>
    <w:p>
      <w:pPr>
        <w:pStyle w:val="ListBullet"/>
      </w:pPr>
      <w:r>
        <w:t>Use the specified guarded charging method and assessed dust controls for the identified material. Keep hands and implements outside moving parts. Maintain suitable contact protection, washing access and a clear discharge movement area.</w:t>
      </w:r>
    </w:p>
    <w:p>
      <w:pPr>
        <w:pStyle w:val="ListBullet"/>
      </w:pPr>
      <w:r>
        <w:t>Follow the equipment-specific shutdown and isolation process before clearing, guarded access or cleanup. Control possible restart and drum movement; a stop switch alone does not establish the safe state.</w:t>
      </w:r>
    </w:p>
    <w:p>
      <w:pPr>
        <w:pStyle w:val="Heading1"/>
      </w:pPr>
      <w:r>
        <w:t>Verify It in the Field</w:t>
      </w:r>
    </w:p>
    <w:p>
      <w:r>
        <w:t>With equipment in its prescribed inspection state, compare guards, closures and controls with the model instructions. Conduct only the prescribed safe function checks with people clear. Hold a defective machine out of service.</w:t>
      </w:r>
    </w:p>
    <w:p>
      <w:r>
        <w:t>Check the bag-handling position, dust controls, receiving stability and discharge path before loading. Confirm the selected mix and intended batch match the actual machine’s instructions.</w:t>
      </w:r>
    </w:p>
    <w:p>
      <w:r>
        <w:t>Identify who performs isolation and its safe verification before cleanup. Record the procedure, inspection findings, checker and time. Confirm how guards and unresolved defects are handed over before reuse.</w:t>
      </w:r>
    </w:p>
    <w:p>
      <w:pPr>
        <w:pStyle w:val="Heading1"/>
      </w:pPr>
      <w:r>
        <w:t>Stop and reassess</w:t>
      </w:r>
    </w:p>
    <w:p>
      <w:r>
        <w:t>Stop for a missing guard, failed control, abnormal movement, jam, unsafe discharge or failed exposure controls. Keep hands out and do not reach through a grate to fix the problem. Authorized personnel must make the equipment safe, correct the fault and complete required rechecks before restart.</w:t>
      </w:r>
    </w:p>
    <w:p>
      <w:pPr>
        <w:pStyle w:val="Heading1"/>
      </w:pPr>
      <w:r>
        <w:t>Ask the crew</w:t>
      </w:r>
    </w:p>
    <w:p>
      <w:r>
        <w:t>1. Which guard protects us during charging?</w:t>
      </w:r>
    </w:p>
    <w:p>
      <w:r>
        <w:t>2. Where could the drum or receiving container trap someone?</w:t>
      </w:r>
    </w:p>
    <w:p>
      <w:r>
        <w:t>3. What proves cleanup can begin without restart or movement?</w:t>
      </w:r>
    </w:p>
    <w:p>
      <w:r>
        <w:t>Use the task plan and required specialist decisions before exposure.</w:t>
      </w:r>
    </w:p>
    <w:p>
      <w:pPr>
        <w:pStyle w:val="Support"/>
      </w:pPr>
      <w:r>
        <w:t>Sources: OSHA 1926.300, .702(j), .1153; actual mixer manual.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 and separate forms: toddjeromejenkins.com/toolbox-talks/mortar-mixer-guarding-loading-cleanup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Mortar Mixers: Check the Guarded Work Cycle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