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11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Housekeeping Is a Control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Actual work, access and emergency routes match the required site arrangements.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Materials and supports meet the applicable stability, loading and separation criteria.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Tools, cords, debris and sharp waste do not create unresolved access exposures.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Waste containers, collection timing and assigned ownership support the next work phase.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Cleanup method matches the hazard; restricted or specialist cleanup is assigned appropriately.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Is a Control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