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144  •  CREW DISCUSSION</w:t>
      </w:r>
    </w:p>
    <w:p>
      <w:pPr>
        <w:pStyle w:val="Title"/>
      </w:pPr>
      <w:r>
        <w:t>Reporting Concerns: Practice a Useful First Response</w:t>
      </w:r>
    </w:p>
    <w:p>
      <w:pPr>
        <w:pStyle w:val="Support"/>
      </w:pPr>
      <w:r>
        <w:t>Todd Jerome Jenkins  |  v1.0  |  Reviewed October 9, 2026  |  Discussion + field checks</w:t>
      </w:r>
    </w:p>
    <w:p>
      <w:pPr>
        <w:pStyle w:val="Heading1"/>
      </w:pPr>
      <w:r>
        <w:t>Why this matters</w:t>
      </w:r>
    </w:p>
    <w:p>
      <w:r>
        <w:t>A first response should preserve useful information and make the next step clear. Practice receiving an imperfect report. The receiver needs to understand the exposure, arrange the right help and confirm the next step without asking the reporter to prove a cause or repair the problem.</w:t>
      </w:r>
    </w:p>
    <w:p>
      <w:r>
        <w:t>Objective: Receive a concern, confirm its meaning and make a clear handoff to the person responsible for protection and follow-up.</w:t>
      </w:r>
    </w:p>
    <w:p>
      <w:pPr>
        <w:pStyle w:val="Heading1"/>
      </w:pPr>
      <w:r>
        <w:t>Key hazards or failure points</w:t>
      </w:r>
    </w:p>
    <w:p>
      <w:r>
        <w:t>Dismissing an incomplete account; investigating blame before exposure; losing a location during handoff; an unavailable contact; promises nobody can keep; an acknowledgment mistaken for a corrected condition.</w:t>
      </w:r>
    </w:p>
    <w:p>
      <w:pPr>
        <w:pStyle w:val="Heading1"/>
      </w:pPr>
      <w:r>
        <w:t>Practical controls</w:t>
      </w:r>
    </w:p>
    <w:p>
      <w:pPr>
        <w:pStyle w:val="ListBullet"/>
      </w:pPr>
      <w:r>
        <w:t>Listen and acknowledge the information. Ask where the condition is, what was observed and whether anyone remains exposed. Use the site’s emergency or pause-work process when needed; reporting paperwork must not delay protection.</w:t>
      </w:r>
    </w:p>
    <w:p>
      <w:pPr>
        <w:pStyle w:val="ListBullet"/>
      </w:pPr>
      <w:r>
        <w:t>Repeat the important facts and let the reporter correct them. Separate observations from assumptions. Do not require a diagnosis, perfect terminology or a proposed solution before accepting the concern.</w:t>
      </w:r>
    </w:p>
    <w:p>
      <w:pPr>
        <w:pStyle w:val="ListBullet"/>
      </w:pPr>
      <w:r>
        <w:t>Identify the receiving owner, interim protection and next feedback point. Explain the actual reporting options and information handling. Limit personal details; keep disciplinary decisions outside this discussion.</w:t>
      </w:r>
    </w:p>
    <w:p>
      <w:pPr>
        <w:pStyle w:val="Heading1"/>
      </w:pPr>
      <w:r>
        <w:t>Verify It in the Field</w:t>
      </w:r>
    </w:p>
    <w:p>
      <w:r>
        <w:t>Use an announced paper scenario with no real hazard. Have one person report a concern and another respond. An observer compares the reported location, exposure and uncertainty with the receiver’s summary; correct any lost meaning.</w:t>
      </w:r>
    </w:p>
    <w:p>
      <w:r>
        <w:t>Trace the handoff using the approved non-emergency rehearsal method. Confirm the intended owner and backup can receive the concern. Do not activate an emergency channel or submit a false live incident as a test.</w:t>
      </w:r>
    </w:p>
    <w:p>
      <w:r>
        <w:t>Check the response record for the agreed owner, immediate protection and feedback point. Ask the reporter to explain what happens next. For a real concern, the designated verifier checks protection against its governing criterion; a received message is not evidence of correction.</w:t>
      </w:r>
    </w:p>
    <w:p>
      <w:pPr>
        <w:pStyle w:val="Heading1"/>
      </w:pPr>
      <w:r>
        <w:t>Stop and reassess</w:t>
      </w:r>
    </w:p>
    <w:p>
      <w:r>
        <w:t>Escalate an urgent unanswered concern, failed contact or missing required protection through the site process. Hold affected exposure while the responsible people resolve it. Pause a rehearsal that pressures someone to disclose private details or recreate a hazardous event. Restart work only through the applicable authorization process.</w:t>
      </w:r>
    </w:p>
    <w:p>
      <w:pPr>
        <w:pStyle w:val="Heading1"/>
      </w:pPr>
      <w:r>
        <w:t>Ask the crew</w:t>
      </w:r>
    </w:p>
    <w:p>
      <w:r>
        <w:t>1. What information does the receiver need first?</w:t>
      </w:r>
    </w:p>
    <w:p>
      <w:r>
        <w:t>2. What did the repeat-back miss or change?</w:t>
      </w:r>
    </w:p>
    <w:p>
      <w:r>
        <w:t>3. Who owns protection while the concern is being reviewed?</w:t>
      </w:r>
    </w:p>
    <w:p>
      <w:r>
        <w:t>Use the task plan and required specialist decisions before exposure.</w:t>
      </w:r>
    </w:p>
    <w:p>
      <w:pPr>
        <w:pStyle w:val="Support"/>
      </w:pPr>
      <w:r>
        <w:t>Sources: DOE-HDBK-1028-2009, Vol. 2, pp. 95–98; OSHA Worker Participation.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toddjeromejenkins.com/toolbox-talks/safety-concern-first-response-rehearsal</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Concerns: Practice a Useful First Response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