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163  •  CREW DISCUSSION</w:t>
      </w:r>
    </w:p>
    <w:p>
      <w:pPr>
        <w:pStyle w:val="Title"/>
      </w:pPr>
      <w:r>
        <w:t>Independent Oversight: Find the Blind Spots</w:t>
      </w:r>
    </w:p>
    <w:p>
      <w:pPr>
        <w:pStyle w:val="Support"/>
      </w:pPr>
      <w:r>
        <w:t>Todd Jerome Jenkins  |  v1.0  |  Reviewed October 9, 2026  |  Discussion + field checks</w:t>
      </w:r>
    </w:p>
    <w:p>
      <w:pPr>
        <w:pStyle w:val="Heading1"/>
      </w:pPr>
      <w:r>
        <w:t>Why this matters</w:t>
      </w:r>
    </w:p>
    <w:p>
      <w:r>
        <w:t>People close to a process can become accustomed to its weak spots. A review with suitable independence can bring another perspective, but an outside title alone does not guarantee useful findings. Agree the scope, examine real evidence and follow corrective actions through to working protection.</w:t>
      </w:r>
    </w:p>
    <w:p>
      <w:r>
        <w:t>Objective: Explain the review’s independence and trace one finding from evidence to verified corrective action.</w:t>
      </w:r>
    </w:p>
    <w:p>
      <w:pPr>
        <w:pStyle w:val="Heading1"/>
      </w:pPr>
      <w:r>
        <w:t>Key hazards or failure points</w:t>
      </w:r>
    </w:p>
    <w:p>
      <w:r>
        <w:t>Reviewer conflicts; unclear criteria; staged work; restricted worker input; unsupported findings; defensive dismissal; promises without action; closed records while the hazard remains.</w:t>
      </w:r>
    </w:p>
    <w:p>
      <w:pPr>
        <w:pStyle w:val="Heading1"/>
      </w:pPr>
      <w:r>
        <w:t>Practical controls</w:t>
      </w:r>
    </w:p>
    <w:p>
      <w:pPr>
        <w:pStyle w:val="ListBullet"/>
      </w:pPr>
      <w:r>
        <w:t>Define the review purpose, criteria and boundaries. Select competent reviewers with the independence required by the governing arrangement and disclose relevant conflicts. Identify contacts who can provide information without controlling the conclusions.</w:t>
      </w:r>
    </w:p>
    <w:p>
      <w:pPr>
        <w:pStyle w:val="ListBullet"/>
      </w:pPr>
      <w:r>
        <w:t>Provide accurate records and safe access to relevant people and work. Preserve different accounts and correct factual errors with evidence. Do not coach workers toward a preferred answer or stage an unsafe demonstration for the reviewer.</w:t>
      </w:r>
    </w:p>
    <w:p>
      <w:pPr>
        <w:pStyle w:val="ListBullet"/>
      </w:pPr>
      <w:r>
        <w:t>For each accepted finding, assign a responsible owner, interim protection where needed, an approved action and a verification method. Record disputed points for resolution through the applicable process rather than deleting or silently accepting them.</w:t>
      </w:r>
    </w:p>
    <w:p>
      <w:pPr>
        <w:pStyle w:val="Heading1"/>
      </w:pPr>
      <w:r>
        <w:t>Verify It in the Field</w:t>
      </w:r>
    </w:p>
    <w:p>
      <w:r>
        <w:t>Before the review, ask who owns the activity, who reviews it and how conflicts are handled. Record the scope and applicable independence requirements. A reviewer from another department is not automatically independent for every required assessment.</w:t>
      </w:r>
    </w:p>
    <w:p>
      <w:r>
        <w:t>Select one finding and trace it to the observed condition, record and applicable criterion. Invite relevant workers to check the factual account. Identify uncertainty or scope limits; confidence and a report heading are not substitutes for evidence.</w:t>
      </w:r>
    </w:p>
    <w:p>
      <w:r>
        <w:t>Follow one action into actual implementation. The assigned verifier uses the authorized safe method to compare the result with its acceptance source. Record the finding, checker and time, and arrange a later effectiveness check where appropriate. A purchase order or completed action label does not prove protection functions.</w:t>
      </w:r>
    </w:p>
    <w:p>
      <w:pPr>
        <w:pStyle w:val="Heading1"/>
      </w:pPr>
      <w:r>
        <w:t>Stop and reassess</w:t>
      </w:r>
    </w:p>
    <w:p>
      <w:r>
        <w:t>Address an immediate hazard through the site response process without waiting for a final report. Pause unsupported conclusions or unsafe review activity. Escalate unresolved independence, evidence or action-ownership problems. Keep affected work held where required controls remain uncertain; only the designated authority can release it after verification.</w:t>
      </w:r>
    </w:p>
    <w:p>
      <w:pPr>
        <w:pStyle w:val="Heading1"/>
      </w:pPr>
      <w:r>
        <w:t>Ask the crew</w:t>
      </w:r>
    </w:p>
    <w:p>
      <w:r>
        <w:t>1. What makes this review sufficiently independent?</w:t>
      </w:r>
    </w:p>
    <w:p>
      <w:r>
        <w:t>2. What evidence supports this finding?</w:t>
      </w:r>
    </w:p>
    <w:p>
      <w:r>
        <w:t>3. Who verifies that the correction works?</w:t>
      </w:r>
    </w:p>
    <w:p>
      <w:r>
        <w:t>Use the task plan and required specialist decisions before exposure.</w:t>
      </w:r>
    </w:p>
    <w:p>
      <w:pPr>
        <w:pStyle w:val="Support"/>
      </w:pPr>
      <w:r>
        <w:t>Sources: DOE-HDBK-1028-2009, Vol.2, pp.80,81,82;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toddjeromejenkins.com/toolbox-talks/independent-oversight-find-blind-spots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Oversight: Find the Blind Spots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