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192  •  TOOLBOX DISCUSSION</w:t>
      </w:r>
    </w:p>
    <w:p>
      <w:pPr>
        <w:pStyle w:val="Title"/>
      </w:pPr>
      <w:r>
        <w:t>Abrasive Wheels: Recheck Every Wheel Change</w:t>
      </w:r>
    </w:p>
    <w:p>
      <w:pPr>
        <w:pStyle w:val="Support"/>
      </w:pPr>
      <w:r>
        <w:t>Todd Jerome Jenkins  |  v1.0  |  October 12, 2026  |  Discussion + field verification</w:t>
      </w:r>
    </w:p>
    <w:p>
      <w:pPr>
        <w:pStyle w:val="Heading1"/>
      </w:pPr>
      <w:r>
        <w:t>Why this matters</w:t>
      </w:r>
    </w:p>
    <w:p>
      <w:r>
        <w:t>A replacement wheel may fit the spindle and still be wrong for the tool or job. The wheel change is a new setup requiring verified compatibility and protection.</w:t>
      </w:r>
    </w:p>
    <w:p>
      <w:r>
        <w:t>Objective: Confirm the wheel, tool and guarding match before operation.</w:t>
      </w:r>
    </w:p>
    <w:p>
      <w:pPr>
        <w:pStyle w:val="Heading1"/>
      </w:pPr>
      <w:r>
        <w:t>Key hazards or failure points</w:t>
      </w:r>
    </w:p>
    <w:p>
      <w:r>
        <w:t>Wheel breakage; unreadable ratings; wrong wheel type; damaged mounting parts; unsupported work; exposed bystanders.</w:t>
      </w:r>
    </w:p>
    <w:p>
      <w:pPr>
        <w:pStyle w:val="Heading1"/>
      </w:pPr>
      <w:r>
        <w:t>Practical controls</w:t>
      </w:r>
    </w:p>
    <w:p>
      <w:pPr>
        <w:pStyle w:val="ListBullet"/>
      </w:pPr>
      <w:r>
        <w:t>Use the approved wheel type, dimensions and speed rating for the tool and material. Keep required guards and mounting parts in place.</w:t>
      </w:r>
    </w:p>
    <w:p>
      <w:pPr>
        <w:pStyle w:val="ListBullet"/>
      </w:pPr>
      <w:r>
        <w:t>Isolate the tool as its procedure requires before changing wheels. A trained person follows the applicable inspection, ring-test and mounting instructions.</w:t>
      </w:r>
    </w:p>
    <w:p>
      <w:pPr>
        <w:pStyle w:val="ListBullet"/>
      </w:pPr>
      <w:r>
        <w:t>Support the work and establish protection from fragments, sparks and dust. Use required eye/face, hearing and respiratory protection for the actual exposure.</w:t>
      </w:r>
    </w:p>
    <w:p>
      <w:pPr>
        <w:pStyle w:val="Heading1"/>
      </w:pPr>
      <w:r>
        <w:t>Verify It in the Field</w:t>
      </w:r>
    </w:p>
    <w:p>
      <w:r>
        <w:t>With the tool safely secured, compare readable wheel and tool identifiers, ratings and intended use with their instructions. Hold any unresolved mismatch.</w:t>
      </w:r>
    </w:p>
    <w:p>
      <w:r>
        <w:t>Record the required pre-mount inspection/test result and correct mounting/guard configuration. Do not infer wheel integrity from appearance alone.</w:t>
      </w:r>
    </w:p>
    <w:p>
      <w:r>
        <w:t>The trained operator completes the prescribed safe startup check with people clear. Stop for abnormal vibration, damage or unexplained behavior.</w:t>
      </w:r>
    </w:p>
    <w:p>
      <w:pPr>
        <w:pStyle w:val="Heading1"/>
      </w:pPr>
      <w:r>
        <w:t>Stop and reassess</w:t>
      </w:r>
    </w:p>
    <w:p>
      <w:r>
        <w:t>Hold use for a dropped or suspect wheel, unreadable rating, missing guard or failed check. Resolve the defect and repeat the required setup verification before use.</w:t>
      </w:r>
    </w:p>
    <w:p>
      <w:pPr>
        <w:pStyle w:val="Heading1"/>
      </w:pPr>
      <w:r>
        <w:t>Ask the crew</w:t>
      </w:r>
    </w:p>
    <w:p>
      <w:r>
        <w:t>1. What proves this wheel matches this tool?</w:t>
      </w:r>
    </w:p>
    <w:p>
      <w:r>
        <w:t>2. Which inspection applies before mounting?</w:t>
      </w:r>
    </w:p>
    <w:p>
      <w:r>
        <w:t>3. Where could fragments or sparks reach someone?</w:t>
      </w:r>
    </w:p>
    <w:p>
      <w:r>
        <w:rPr>
          <w:sz w:val="19"/>
        </w:rPr>
        <w:t>Use this HOP tool — Procedure use and adherence: Choose the next wheel change. Before handling the tool, name the instruction that establishes compatibility and the evidence required before startup. If the wheel marking or procedure does not fit, describe the mismatch and assign its resolution while the tool remains safely secured.</w:t>
      </w:r>
    </w:p>
    <w:p>
      <w:pPr>
        <w:pStyle w:val="Support"/>
      </w:pPr>
      <w:r>
        <w:t>Sources: OSHA 1926.303, 1910.215; DOE Vol. 2, pp. 20–21. HOP concepts adapted from DOE-HDBK-1028-2009, Vol. 2 (June 2009). No claim to original U.S. Government work; no government endorsement implied.</w:t>
      </w:r>
    </w:p>
    <w:p>
      <w:pPr>
        <w:pStyle w:val="Support"/>
      </w:pPr>
      <w:r>
        <w:t>Free next step: JHA/JSA planning and field-verification worksheet</w:t>
      </w:r>
    </w:p>
    <w:p>
      <w:pPr>
        <w:pStyle w:val="Support"/>
      </w:pPr>
      <w:r>
        <w:t>Expanded guidance and separate forms: toddjeromejenkins.com/toolbox-talks/abrasive-wheel-change-compatibility</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Abrasive Wheels: Recheck Every Wheel Change</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