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209  •  TOOLBOX DISCUSSION</w:t>
      </w:r>
    </w:p>
    <w:p>
      <w:pPr>
        <w:pStyle w:val="Title"/>
      </w:pPr>
      <w:r>
        <w:t>Spray Foam: Protect the Area Until Release</w:t>
      </w:r>
    </w:p>
    <w:p>
      <w:pPr>
        <w:pStyle w:val="Support"/>
      </w:pPr>
      <w:r>
        <w:t>Todd Jerome Jenkins  |  v1.0  |  October 12, 2026  |  Discussion + field verification</w:t>
      </w:r>
    </w:p>
    <w:p>
      <w:pPr>
        <w:pStyle w:val="Heading1"/>
      </w:pPr>
      <w:r>
        <w:t>Why this matters</w:t>
      </w:r>
    </w:p>
    <w:p>
      <w:r>
        <w:t>Finishing the spray does not automatically release the building. Other trades can encounter spray-foam chemicals during application, curing, trimming or early reentry.</w:t>
      </w:r>
    </w:p>
    <w:p>
      <w:r>
        <w:t>Objective: Confirm exclusion, ventilation and release arrangements before spraying starts.</w:t>
      </w:r>
    </w:p>
    <w:p>
      <w:pPr>
        <w:pStyle w:val="Heading1"/>
      </w:pPr>
      <w:r>
        <w:t>Key hazards or failure points</w:t>
      </w:r>
    </w:p>
    <w:p>
      <w:r>
        <w:t>Isocyanate exposure; migrating aerosols; skin contact; failed ventilation; premature reentry.</w:t>
      </w:r>
    </w:p>
    <w:p>
      <w:pPr>
        <w:pStyle w:val="Heading1"/>
      </w:pPr>
      <w:r>
        <w:t>Practical controls</w:t>
      </w:r>
    </w:p>
    <w:p>
      <w:pPr>
        <w:pStyle w:val="ListBullet"/>
      </w:pPr>
      <w:r>
        <w:t>Identify the exact foam system and both components. Have the responsible specialist establish application, ventilation, protection and emergency arrangements for this location.</w:t>
      </w:r>
    </w:p>
    <w:p>
      <w:pPr>
        <w:pStyle w:val="ListBullet"/>
      </w:pPr>
      <w:r>
        <w:t>Keep other trades and occupants out during installation. Coordinate barriers, building systems and exhaust destinations so contamination does not migrate to people.</w:t>
      </w:r>
    </w:p>
    <w:p>
      <w:pPr>
        <w:pStyle w:val="ListBullet"/>
      </w:pPr>
      <w:r>
        <w:t>Establish written product-specific reentry and occupancy conditions before work. Continue required controls after spraying; only appropriately protected, authorized personnel enter the restricted area.</w:t>
      </w:r>
    </w:p>
    <w:p>
      <w:pPr>
        <w:pStyle w:val="Heading1"/>
      </w:pPr>
      <w:r>
        <w:t>Verify It in the Field</w:t>
      </w:r>
    </w:p>
    <w:p>
      <w:r>
        <w:t>Match containers and current product instructions to the plan. Confirm trained applicators and the selected respiratory, skin and eye protection before exposure.</w:t>
      </w:r>
    </w:p>
    <w:p>
      <w:r>
        <w:t>From the clean side, inspect boundaries and access arrangements. Have the designated person document the specified ventilation performance and protected exhaust location.</w:t>
      </w:r>
    </w:p>
    <w:p>
      <w:r>
        <w:t>Ask the next trade who releases the area and what evidence is required. Confirm that an elapsed time or dry-looking surface alone cannot authorize entry.</w:t>
      </w:r>
    </w:p>
    <w:p>
      <w:pPr>
        <w:pStyle w:val="Heading1"/>
      </w:pPr>
      <w:r>
        <w:t>Stop and reassess</w:t>
      </w:r>
    </w:p>
    <w:p>
      <w:r>
        <w:t>Stop application for failed controls, intrusion or changed conditions. Leave exposure for irritation or breathing symptoms and obtain medical help; severe breathing difficulty needs emergency assistance. Keep restrictions until authorized reassessment and release.</w:t>
      </w:r>
    </w:p>
    <w:p>
      <w:pPr>
        <w:pStyle w:val="Heading1"/>
      </w:pPr>
      <w:r>
        <w:t>Ask the crew</w:t>
      </w:r>
    </w:p>
    <w:p>
      <w:r>
        <w:t>1. Who could enter unexpectedly?</w:t>
      </w:r>
    </w:p>
    <w:p>
      <w:r>
        <w:t>2. Where could contamination travel?</w:t>
      </w:r>
    </w:p>
    <w:p>
      <w:r>
        <w:t>3. What evidence permits the next trade to return?</w:t>
      </w:r>
    </w:p>
    <w:p>
      <w:r>
        <w:rPr>
          <w:sz w:val="19"/>
        </w:rPr>
        <w:t>Use this HOP tool — Validate assumptions: Ask the next trade to state what would make them believe the area is ready. Separate appearance, elapsed time and hearsay from the required release evidence. Identify who validates that evidence and how the restriction reaches late arrivals before spraying begins.</w:t>
      </w:r>
    </w:p>
    <w:p>
      <w:pPr>
        <w:pStyle w:val="Support"/>
      </w:pPr>
      <w:r>
        <w:t>Sources: OSHA Isocyanates, 1926.55, 1926.103; EPA archived SPF guidance; DOE Vol. 2, pp. 22–23.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toddjeromejenkins.com/toolbox-talks/spray-foam-isocyanates-reentry</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Spray Foam: Protect the Area Until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