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214  •  TOOLBOX DISCUSSION</w:t>
      </w:r>
    </w:p>
    <w:p>
      <w:pPr>
        <w:pStyle w:val="Title"/>
      </w:pPr>
      <w:r>
        <w:t>Respirator Cartridges: Check the Change Schedule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cartridge can look clean after its useful service life ends. Today’s chemical, concentration, workload or storage history may differ from the conditions behind yesterday’s selection.</w:t>
      </w:r>
    </w:p>
    <w:p>
      <w:r>
        <w:t>Objective: Confirm cartridge identity and replacement timing before use.</w:t>
      </w:r>
    </w:p>
    <w:p>
      <w:pPr>
        <w:pStyle w:val="Heading1"/>
      </w:pPr>
      <w:r>
        <w:t>Key hazards or failure points</w:t>
      </w:r>
    </w:p>
    <w:p>
      <w:r>
        <w:t>Wrong cartridge; unknown use history; missed replacement; changed exposure; smell used as the change schedule.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Have the respiratory program select protection for the assessed contaminant and conditions. A particulate filter alone does not remove gases or vapors.</w:t>
      </w:r>
    </w:p>
    <w:p>
      <w:pPr>
        <w:pStyle w:val="ListBullet"/>
      </w:pPr>
      <w:r>
        <w:t>For applicable gas/vapor cartridges, use the required suitable end-of-service-life indicator or documented, data-based change schedule. Do not invent a daily rule.</w:t>
      </w:r>
    </w:p>
    <w:p>
      <w:pPr>
        <w:pStyle w:val="ListBullet"/>
      </w:pPr>
      <w:r>
        <w:t>Follow program instructions for use tracking, storage and replacement. Keep suitable replacements available and change components outside the exposure area.</w:t>
      </w:r>
    </w:p>
    <w:p>
      <w:pPr>
        <w:pStyle w:val="Heading1"/>
      </w:pPr>
      <w:r>
        <w:t>Verify It in the Field</w:t>
      </w:r>
    </w:p>
    <w:p>
      <w:r>
        <w:t>Read actual cartridge identifiers and compare them with the task selection. Check approved component compatibility, condition and manufacturer restrictions.</w:t>
      </w:r>
    </w:p>
    <w:p>
      <w:r>
        <w:t>Locate the applicable replacement instruction and required use-history record. Confirm when this set must change; an unopened shelf-life date is not an in-use schedule.</w:t>
      </w:r>
    </w:p>
    <w:p>
      <w:r>
        <w:t>Ask the program designee whether today’s chemical, duration and conditions remain covered. Hold uncertain changes for reassessment before exposure.</w:t>
      </w:r>
    </w:p>
    <w:p>
      <w:pPr>
        <w:pStyle w:val="Heading1"/>
      </w:pPr>
      <w:r>
        <w:t>Stop and reassess</w:t>
      </w:r>
    </w:p>
    <w:p>
      <w:r>
        <w:t>Leave exposure safely for breakthrough, leakage or breathing resistance. Hold use for unknown history, missing schedule or changed conditions not assessed. Report and correct the problem before reentry; do not wait to smell a contaminant.</w:t>
      </w:r>
    </w:p>
    <w:p>
      <w:pPr>
        <w:pStyle w:val="Heading1"/>
      </w:pPr>
      <w:r>
        <w:t>Ask the crew</w:t>
      </w:r>
    </w:p>
    <w:p>
      <w:r>
        <w:t>1. Which schedule covers this cartridge?</w:t>
      </w:r>
    </w:p>
    <w:p>
      <w:r>
        <w:t>2. How is use tracked?</w:t>
      </w:r>
    </w:p>
    <w:p>
      <w:r>
        <w:t>3. What change invalidates its basis?</w:t>
      </w:r>
    </w:p>
    <w:p>
      <w:r>
        <w:rPr>
          <w:sz w:val="19"/>
        </w:rPr>
        <w:t>Use this HOP tool — Validate assumptions: Write the statement “this cartridge still has useful life” on paper. Identify the record and conditions that would support it. Have the program designee resolve missing evidence before use; previous successful work and lack of odor do not close the question.</w:t>
      </w:r>
    </w:p>
    <w:p>
      <w:pPr>
        <w:pStyle w:val="Support"/>
      </w:pPr>
      <w:r>
        <w:t>Sources: OSHA 1910.134, 1926.103; DOE Vol. 2, pp. 22–23.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toddjeromejenkins.com/toolbox-talks/respirator-cartridge-change-schedule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Respirator Cartridges: Check the Change Schedule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