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217  •  TOOLBOX DISCUSSION</w:t>
      </w:r>
    </w:p>
    <w:p>
      <w:pPr>
        <w:pStyle w:val="Title"/>
      </w:pPr>
      <w:r>
        <w:t>Telehandler Attachments: Match the Load Chart</w:t>
      </w:r>
    </w:p>
    <w:p>
      <w:pPr>
        <w:pStyle w:val="Support"/>
      </w:pPr>
      <w:r>
        <w:t>Todd Jerome Jenkins  |  v1.0  |  October 12, 2026  |  Discussion + field verification</w:t>
      </w:r>
    </w:p>
    <w:p>
      <w:pPr>
        <w:pStyle w:val="Heading1"/>
      </w:pPr>
      <w:r>
        <w:t>Why this matters</w:t>
      </w:r>
    </w:p>
    <w:p>
      <w:r>
        <w:t>An attachment that connects to the machine may still lack approval for the intended lift. Capacity depends on the actual configuration and placement, not only the largest number on the machine.</w:t>
      </w:r>
    </w:p>
    <w:p>
      <w:r>
        <w:t>Objective: Match telehandler, attachment and planned placement before lifting.</w:t>
      </w:r>
    </w:p>
    <w:p>
      <w:pPr>
        <w:pStyle w:val="Heading1"/>
      </w:pPr>
      <w:r>
        <w:t>Key hazards or failure points</w:t>
      </w:r>
    </w:p>
    <w:p>
      <w:r>
        <w:t>Unapproved attachment; wrong chart; unknown load weight; extended reach; insecure connection; unsuitable ground.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Use a trained, evaluated and authorized operator. Follow the actual machine and attachment instructions and required approvals.</w:t>
      </w:r>
    </w:p>
    <w:p>
      <w:pPr>
        <w:pStyle w:val="ListBullet"/>
      </w:pPr>
      <w:r>
        <w:t>Match the readable capacity information to the machine, attachment and intended configuration. Resolve load weight, load center and placement before picking up.</w:t>
      </w:r>
    </w:p>
    <w:p>
      <w:pPr>
        <w:pStyle w:val="ListBullet"/>
      </w:pPr>
      <w:r>
        <w:t>Prepare stable support and the receiving area under the instructions. Keep people outside the handling zone; never use a trial lift to discover capacity.</w:t>
      </w:r>
    </w:p>
    <w:p>
      <w:pPr>
        <w:pStyle w:val="Heading1"/>
      </w:pPr>
      <w:r>
        <w:t>Verify It in the Field</w:t>
      </w:r>
    </w:p>
    <w:p>
      <w:r>
        <w:t>With the machine safely secured, compare machine and attachment identifiers with the approval and applicable chart. Physical fit alone is insufficient.</w:t>
      </w:r>
    </w:p>
    <w:p>
      <w:r>
        <w:t>Have the operator trace the planned placement on the correct chart using the required configuration inputs. Record the load basis and hold unresolved information.</w:t>
      </w:r>
    </w:p>
    <w:p>
      <w:r>
        <w:t>Complete the prescribed attachment-retention and machine checks safely. Confirm ground, clearances and receiving conditions match the plan before movement.</w:t>
      </w:r>
    </w:p>
    <w:p>
      <w:pPr>
        <w:pStyle w:val="Heading1"/>
      </w:pPr>
      <w:r>
        <w:t>Stop and reassess</w:t>
      </w:r>
    </w:p>
    <w:p>
      <w:r>
        <w:t>Hold for missing approval, unreadable or mismatched chart, unknown load or changed configuration. Reassess a changed reach, surface or attachment before proceeding; warning devices do not replace capacity planning.</w:t>
      </w:r>
    </w:p>
    <w:p>
      <w:pPr>
        <w:pStyle w:val="Heading1"/>
      </w:pPr>
      <w:r>
        <w:t>Ask the crew</w:t>
      </w:r>
    </w:p>
    <w:p>
      <w:r>
        <w:t>1. Does this chart match our attachment?</w:t>
      </w:r>
    </w:p>
    <w:p>
      <w:r>
        <w:t>2. How was load weight established?</w:t>
      </w:r>
    </w:p>
    <w:p>
      <w:r>
        <w:t>3. What changes at the receiving position?</w:t>
      </w:r>
    </w:p>
    <w:p>
      <w:r>
        <w:rPr>
          <w:sz w:val="19"/>
        </w:rPr>
        <w:t>Use this HOP tool — Validate assumptions: On paper, list the machine, attachment, load and intended placement. Mark each item supported by current evidence and circle any assumption. Assign the missing verification before lifting; an experienced operator’s confidence or a previous successful pickup does not replace the applicable chart.</w:t>
      </w:r>
    </w:p>
    <w:p>
      <w:pPr>
        <w:pStyle w:val="Support"/>
      </w:pPr>
      <w:r>
        <w:t>Sources: OSHA 1926.602, 1926.1400; DOE Vol. 2, pp. 22–23. HOP concepts adapted from DOE-HDBK-1028-2009, Vol. 2 (June 2009). No claim to original U.S. Government work; no government endorsement implied.</w:t>
      </w:r>
    </w:p>
    <w:p>
      <w:pPr>
        <w:pStyle w:val="Support"/>
      </w:pPr>
      <w:r>
        <w:t>Free next step: JHA/JSA planning and field-verification worksheet</w:t>
      </w:r>
    </w:p>
    <w:p>
      <w:pPr>
        <w:pStyle w:val="Support"/>
      </w:pPr>
      <w:r>
        <w:t>Expanded guidance and separate forms: toddjeromejenkins.com/toolbox-talks/telehandler-attachments-load-chart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Telehandler Attachments: Match the Load Chart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