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40  •  CREW DISCUSSION</w:t>
      </w:r>
    </w:p>
    <w:p>
      <w:pPr>
        <w:pStyle w:val="Title"/>
      </w:pPr>
      <w:r>
        <w:t>Mental Health at Work: Make Support Usable</w:t>
      </w:r>
    </w:p>
    <w:p>
      <w:pPr>
        <w:pStyle w:val="Support"/>
      </w:pPr>
      <w:r>
        <w:t>Todd Jerome Jenkins  |  v1.0  |  Reviewed October 6, 2026  |  Discussion + field checks</w:t>
      </w:r>
    </w:p>
    <w:p>
      <w:pPr>
        <w:pStyle w:val="Heading1"/>
      </w:pPr>
      <w:r>
        <w:t>Why this matters</w:t>
      </w:r>
    </w:p>
    <w:p>
      <w:r>
        <w:t>Support works better when people can use it. A phone number on a poster will not fix an impossible workload or an unavailable supervisor. Check both the work conditions and the route to a private conversation.</w:t>
      </w:r>
    </w:p>
    <w:p>
      <w:r>
        <w:rPr>
          <w:b/>
        </w:rPr>
        <w:t xml:space="preserve">Objective: </w:t>
      </w:r>
      <w:r>
        <w:t>Identify one practical work improvement and verify an accessible private support route.</w:t>
      </w:r>
    </w:p>
    <w:p>
      <w:pPr>
        <w:pStyle w:val="Heading1"/>
      </w:pPr>
      <w:r>
        <w:t>Key hazards or failure points</w:t>
      </w:r>
    </w:p>
    <w:p>
      <w:r>
        <w:t>Unmanageable demands; no relief; fear of speaking up; support unavailable on the shift; forced disclosure; treating distress as a character flaw; an unclear crisis route.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Ask what work condition is creating difficulty today. Adjust priorities, staffing, time, tools or break coverage through the responsible leader. Do not make personal disclosure a condition of improving the work.</w:t>
      </w:r>
    </w:p>
    <w:p>
      <w:pPr>
        <w:pStyle w:val="ListBullet"/>
      </w:pPr>
      <w:r>
        <w:t>Offer a private conversation and explain available support, including the employee assistance program if one exists. Listen respectfully and connect people with appropriate help; supervisors do not diagnose or provide treatment.</w:t>
      </w:r>
    </w:p>
    <w:p>
      <w:pPr>
        <w:pStyle w:val="ListBullet"/>
      </w:pPr>
      <w:r>
        <w:t>Keep current US crisis contacts accessible: call or text 988 for emotional distress or suicidal crisis; call 911 for an immediate life-threatening or medical emergency. Know the local response arrangements.</w:t>
      </w:r>
    </w:p>
    <w:p>
      <w:pPr>
        <w:pStyle w:val="Heading1"/>
      </w:pPr>
      <w:r>
        <w:t>Verify It in the Field</w:t>
      </w:r>
    </w:p>
    <w:p>
      <w:r>
        <w:t>Name the work change agreed today and confirm the responsible person has actually arranged it. Ask when the crew will check whether it helped. A promise to “manage stress” is not an operational change.</w:t>
      </w:r>
    </w:p>
    <w:p>
      <w:r>
        <w:t>Open the actual support information and check its contact details, hours and access process. Provide a usable alternative if there is no employee assistance program. Do not place a test call to a crisis line.</w:t>
      </w:r>
    </w:p>
    <w:p>
      <w:r>
        <w:t>Ask workers how to request a private conversation and whom to contact if the first person is unavailable. Record work changes and access gaps only. Keep diagnoses, personal stories and help-seeking details off the attendance and field sheets.</w:t>
      </w:r>
    </w:p>
    <w:p>
      <w:pPr>
        <w:pStyle w:val="Heading1"/>
      </w:pPr>
      <w:r>
        <w:t>Stop and reassess</w:t>
      </w:r>
    </w:p>
    <w:p>
      <w:r>
        <w:t>Pause exposure when distress prevents safe task performance and arrange private support. For immediate danger, obtain emergency help; remain supportive if safe without entering danger yourself. Use 988 for crisis support and 911 for life-threatening emergencies. Do not require a diagnosis before helping.</w:t>
      </w:r>
    </w:p>
    <w:p>
      <w:pPr>
        <w:pStyle w:val="Heading1"/>
      </w:pPr>
      <w:r>
        <w:t>Ask the crew</w:t>
      </w:r>
    </w:p>
    <w:p>
      <w:r>
        <w:t>1. Which work demand needs a practical change today?</w:t>
      </w:r>
    </w:p>
    <w:p>
      <w:r>
        <w:t>2. How can someone reach support privately on this shift?</w:t>
      </w:r>
    </w:p>
    <w:p>
      <w:r>
        <w:t>3. Who checks whether the agreed change helped?</w:t>
      </w:r>
    </w:p>
    <w:p>
      <w:r>
        <w:rPr>
          <w:b/>
        </w:rPr>
        <w:t>Today’s check: fix one work barrier and confirm the support route.</w:t>
      </w:r>
    </w:p>
    <w:p>
      <w:pPr>
        <w:pStyle w:val="Support"/>
      </w:pPr>
      <w:r>
        <w:t>Sources: CDC worker mental-health support; OSHA supervisor checklist; NIMH help guidance.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guidance, references, supervisor check and attendance record accompany this talk.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Health at Work: Make Support Usable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