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51  •  CREW DISCUSSION</w:t>
      </w:r>
    </w:p>
    <w:p>
      <w:pPr>
        <w:pStyle w:val="Title"/>
      </w:pPr>
      <w:r>
        <w:t>Inclusive Safety Briefings: Can Everyone Use the Plan?</w:t>
      </w:r>
    </w:p>
    <w:p>
      <w:pPr>
        <w:pStyle w:val="Support"/>
      </w:pPr>
      <w:r>
        <w:t>Todd Jerome Jenkins  |  v1.0  |  Reviewed October 6, 2026  |  Discussion + field checks</w:t>
      </w:r>
    </w:p>
    <w:p>
      <w:pPr>
        <w:pStyle w:val="Heading1"/>
      </w:pPr>
      <w:r>
        <w:t>Why this matters</w:t>
      </w:r>
    </w:p>
    <w:p>
      <w:r>
        <w:t>A nod or signature can hide an unclear instruction. People need information in a form they can understand and controls they can use. Check the actual task meaning without embarrassing anyone or making assumptions about capability.</w:t>
      </w:r>
    </w:p>
    <w:p>
      <w:r>
        <w:rPr>
          <w:b/>
        </w:rPr>
        <w:t xml:space="preserve">Objective: </w:t>
      </w:r>
      <w:r>
        <w:t>Confirm that every affected role understands the key instruction and can use the planned protection.</w:t>
      </w:r>
    </w:p>
    <w:p>
      <w:pPr>
        <w:pStyle w:val="Heading1"/>
      </w:pPr>
      <w:r>
        <w:t>Key hazards or failure points</w:t>
      </w:r>
    </w:p>
    <w:p>
      <w:r>
        <w:t>Language or literacy barriers; noise and poor visibility; unfamiliar signals; temporary workers omitted; unusable equipment; private needs forced into a public discussion.</w:t>
      </w:r>
    </w:p>
    <w:p>
      <w:pPr>
        <w:pStyle w:val="Heading1"/>
      </w:pPr>
      <w:r>
        <w:t>Practical controls</w:t>
      </w:r>
    </w:p>
    <w:p>
      <w:pPr>
        <w:pStyle w:val="ListBullet"/>
      </w:pPr>
      <w:r>
        <w:t>Ask what communication format works. Use plain language, suitable demonstration and competent interpretation or translation when needed. Provide time for questions and clarify unfamiliar terms.</w:t>
      </w:r>
    </w:p>
    <w:p>
      <w:pPr>
        <w:pStyle w:val="ListBullet"/>
      </w:pPr>
      <w:r>
        <w:t>Include everyone affected by the task or change. Offer a private route for access or accommodation concerns. Do not infer understanding or capability from age, accent, appearance or job title.</w:t>
      </w:r>
    </w:p>
    <w:p>
      <w:pPr>
        <w:pStyle w:val="ListBullet"/>
      </w:pPr>
      <w:r>
        <w:t>Use the required process to check equipment fit, access and task-specific training. A translated sheet does not replace practical instruction, evaluation or specialist decisions required for the work.</w:t>
      </w:r>
    </w:p>
    <w:p>
      <w:pPr>
        <w:pStyle w:val="Heading1"/>
      </w:pPr>
      <w:r>
        <w:t>Verify It in the Field</w:t>
      </w:r>
    </w:p>
    <w:p>
      <w:r>
        <w:t>Ask each role to explain or show its next step, important control and stop signal through a safe demonstration. Let people use the agreed communication method. Resolve different understandings before exposure.</w:t>
      </w:r>
    </w:p>
    <w:p>
      <w:r>
        <w:t>Check whether instructions and signals can be heard, seen or read in the actual conditions. Adjust location, format, equipment or interpretation and repeat the check. Do not start hazardous movement to test whether a signal is understood.</w:t>
      </w:r>
    </w:p>
    <w:p>
      <w:r>
        <w:t>Ask whether anyone cannot use a planned control and provide a private follow-up route. Confirm missed or reassigned workers receive the relevant briefing. Record communication support and work restrictions without diagnoses or personal disclosures.</w:t>
      </w:r>
    </w:p>
    <w:p>
      <w:pPr>
        <w:pStyle w:val="Heading1"/>
      </w:pPr>
      <w:r>
        <w:t>Stop and reassess</w:t>
      </w:r>
    </w:p>
    <w:p>
      <w:r>
        <w:t>Hold the affected task when a safety-critical instruction or signal is unclear, required protection cannot be used or an affected worker missed the change. Correct the arrangement and recheck understanding before starting.</w:t>
      </w:r>
    </w:p>
    <w:p>
      <w:pPr>
        <w:pStyle w:val="Heading1"/>
      </w:pPr>
      <w:r>
        <w:t>Ask the crew</w:t>
      </w:r>
    </w:p>
    <w:p>
      <w:r>
        <w:t>1. How can we make this instruction clearer?</w:t>
      </w:r>
    </w:p>
    <w:p>
      <w:r>
        <w:t>2. Can each role explain the stop signal and first safe step?</w:t>
      </w:r>
    </w:p>
    <w:p>
      <w:r>
        <w:t>3. Who is missing from this discussion?</w:t>
      </w:r>
    </w:p>
    <w:p>
      <w:r>
        <w:rPr>
          <w:b/>
        </w:rPr>
        <w:t>Before work: verify shared meaning and usable protection.</w:t>
      </w:r>
    </w:p>
    <w:p>
      <w:pPr>
        <w:pStyle w:val="Support"/>
      </w:pPr>
      <w:r>
        <w:t>Sources: OSHA training, language-proficiency interpretation and worker-participation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Safety Briefings: Can Everyone Use the Plan?</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