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83  •  CREW DISCUSSION</w:t>
      </w:r>
    </w:p>
    <w:p>
      <w:pPr>
        <w:pStyle w:val="Title"/>
      </w:pPr>
      <w:r>
        <w:t>Gas Cylinders: Identify, Secure and Check</w:t>
      </w:r>
    </w:p>
    <w:p>
      <w:pPr>
        <w:pStyle w:val="Support"/>
      </w:pPr>
      <w:r>
        <w:t>Todd Jerome Jenkins  |  v1.0  |  Reviewed October 7, 2026  |  Discussion + field checks</w:t>
      </w:r>
    </w:p>
    <w:p>
      <w:pPr>
        <w:pStyle w:val="Heading1"/>
      </w:pPr>
      <w:r>
        <w:t>Why this matters</w:t>
      </w:r>
    </w:p>
    <w:p>
      <w:r>
        <w:t>A cylinder’s contents, valve and handling arrangement determine its hazards. Before moving or connecting it, confirm its identity, condition and the controls needed at the destination.</w:t>
      </w:r>
    </w:p>
    <w:p>
      <w:r>
        <w:t>Objective: Verify cylinder and handling readiness before movement or use.</w:t>
      </w:r>
    </w:p>
    <w:p>
      <w:pPr>
        <w:pStyle w:val="Heading1"/>
      </w:pPr>
      <w:r>
        <w:t>Key hazards or failure points</w:t>
      </w:r>
    </w:p>
    <w:p>
      <w:r>
        <w:t>Unknown gas; damaged valves; falling cylinders; incompatible connections; leaks; ignition; oil or grease on oxygen equipment; unsuitable storage; improvised repairs.</w:t>
      </w:r>
    </w:p>
    <w:p>
      <w:pPr>
        <w:pStyle w:val="Heading1"/>
      </w:pPr>
      <w:r>
        <w:t>Practical controls</w:t>
      </w:r>
    </w:p>
    <w:p>
      <w:pPr>
        <w:pStyle w:val="ListBullet"/>
      </w:pPr>
      <w:r>
        <w:t>Trained users identify the gas from reliable labeling and product information. Match the cylinder and equipment to the task. Do not identify contents by paint color or by opening a valve.</w:t>
      </w:r>
    </w:p>
    <w:p>
      <w:pPr>
        <w:pStyle w:val="ListBullet"/>
      </w:pPr>
      <w:r>
        <w:t>Use suitable restraints, handling equipment and required valve protection under the applicable procedure. Keep cylinders protected from damage and routes clear; do not lift by a cap or valve.</w:t>
      </w:r>
    </w:p>
    <w:p>
      <w:pPr>
        <w:pStyle w:val="ListBullet"/>
      </w:pPr>
      <w:r>
        <w:t>Have the responsible person establish storage or active-use requirements. Use gas-compatible regulators, hoses and connections. Keep oxygen equipment free of oil and grease; leave repair to authorized specialists.</w:t>
      </w:r>
    </w:p>
    <w:p>
      <w:pPr>
        <w:pStyle w:val="Heading1"/>
      </w:pPr>
      <w:r>
        <w:t>Verify It in the Field</w:t>
      </w:r>
    </w:p>
    <w:p>
      <w:r>
        <w:t>Check legible identity and accessible SDS information against the intended gas and equipment. Inspect accessible condition safely. Keep unidentified or damaged cylinders out of use pending supplier or authorized review.</w:t>
      </w:r>
    </w:p>
    <w:p>
      <w:r>
        <w:t>Check the actual securing arrangement, carrier, route and destination before moving. Confirm applicable cap and regulator requirements, including any approved carrier arrangement. Do not improvise rigging or test restraint by tipping a cylinder.</w:t>
      </w:r>
    </w:p>
    <w:p>
      <w:r>
        <w:t>For storage, verify required separation or a compliant barrier against the applicable rule. Trained personnel complete prescribed equipment and connection checks. Record criteria and findings; never use a flame to locate a leak.</w:t>
      </w:r>
    </w:p>
    <w:p>
      <w:pPr>
        <w:pStyle w:val="Heading1"/>
      </w:pPr>
      <w:r>
        <w:t>Stop and reassess</w:t>
      </w:r>
    </w:p>
    <w:p>
      <w:r>
        <w:t>Hold movement or use for unknown identity, damage, unstable restraint, incompatible equipment or unresolved storage criteria. For a suspected leak, keep people clear and follow the gas-specific emergency procedure from safety. Do not drag a leaking cylinder through occupied areas or attempt an improvised repair.</w:t>
      </w:r>
    </w:p>
    <w:p>
      <w:pPr>
        <w:pStyle w:val="Heading1"/>
      </w:pPr>
      <w:r>
        <w:t>Ask the crew</w:t>
      </w:r>
    </w:p>
    <w:p>
      <w:r>
        <w:t>1. What evidence identifies this gas and compatible equipment?</w:t>
      </w:r>
    </w:p>
    <w:p>
      <w:r>
        <w:t>2. Which handling and valve-protection requirements apply?</w:t>
      </w:r>
    </w:p>
    <w:p>
      <w:r>
        <w:t>3. Is this storage or active use, and what criteria govern it?</w:t>
      </w:r>
    </w:p>
    <w:p>
      <w:r>
        <w:t>Construction welding/cutting focus; not cylinder repair or every specialty-gas procedure.</w:t>
      </w:r>
    </w:p>
    <w:p>
      <w:pPr>
        <w:pStyle w:val="Support"/>
      </w:pPr>
      <w:r>
        <w:t>Sources: OSHA 1926.350; separately scoped 1910.101; gas and equipment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toddjeromejenkins.com/toolbox-talks/compressed-gas-cylinder-handling-storage</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Cylinders: Identify, Secure and Check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