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84 • SUPERVISOR COMPONENT</w:t>
      </w:r>
    </w:p>
    <w:p>
      <w:pPr>
        <w:pStyle w:val="Title"/>
      </w:pPr>
      <w:r>
        <w:t>Supervisor Field Check</w:t>
      </w:r>
    </w:p>
    <w:p>
      <w:r>
        <w:t>Treated Wood: Identify Before Cutting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Material information matches actual wood and task.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Uncertainty resolved by responsible personnel.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Dust controls pass prescribed readiness checks.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Hygiene and assessed protective arrangements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Waste stream and accepted destination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Treated Wood: Identify Before Cutting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